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rFonts w:ascii="Georgia" w:hAnsi="Georgia"/>
          <w:b/>
          <w:color w:val="C88B3A"/>
          <w:sz w:val="28"/>
        </w:rPr>
        <w:t>RGX Publications</w:t>
      </w:r>
    </w:p>
    <w:p>
      <w:pPr>
        <w:jc w:val="center"/>
      </w:pPr>
      <w:r>
        <w:rPr>
          <w:rFonts w:ascii="Lato" w:hAnsi="Lato"/>
          <w:color w:val="555555"/>
          <w:sz w:val="22"/>
        </w:rPr>
        <w:t>Retirement GenX Tools</w:t>
      </w:r>
    </w:p>
    <w:p/>
    <w:p/>
    <w:p/>
    <w:p>
      <w:pPr>
        <w:jc w:val="center"/>
      </w:pPr>
      <w:r>
        <w:rPr>
          <w:rFonts w:ascii="Georgia" w:hAnsi="Georgia"/>
          <w:b/>
          <w:color w:val="1E2A44"/>
          <w:sz w:val="96"/>
        </w:rPr>
        <w:t>Superannuation</w:t>
      </w:r>
    </w:p>
    <w:p>
      <w:pPr>
        <w:jc w:val="center"/>
      </w:pPr>
      <w:r>
        <w:rPr>
          <w:rFonts w:ascii="Georgia" w:hAnsi="Georgia"/>
          <w:b/>
          <w:color w:val="C88B3A"/>
          <w:sz w:val="96"/>
        </w:rPr>
        <w:t>Tracker</w:t>
      </w:r>
    </w:p>
    <w:p/>
    <w:p>
      <w:pPr>
        <w:jc w:val="center"/>
      </w:pPr>
      <w:r>
        <w:rPr>
          <w:rFonts w:ascii="Lato" w:hAnsi="Lato"/>
          <w:i/>
          <w:color w:val="555555"/>
          <w:sz w:val="24"/>
        </w:rPr>
        <w:t>A calm, plain-English workbook for Australians aged 50–70</w:t>
      </w:r>
    </w:p>
    <w:p/>
    <w:p/>
    <w:p/>
    <w:p/>
    <w:p>
      <w:pPr>
        <w:jc w:val="center"/>
      </w:pPr>
      <w:r>
        <w:rPr>
          <w:rFonts w:ascii="Lato" w:hAnsi="Lato"/>
          <w:b/>
          <w:color w:val="1E2A44"/>
          <w:sz w:val="20"/>
        </w:rPr>
        <w:t>By Barry  ·  RGX-002  ·  Version 1.0</w:t>
      </w:r>
    </w:p>
    <w:p>
      <w:r>
        <w:br w:type="page"/>
      </w:r>
    </w:p>
    <w:p>
      <w:pPr>
        <w:spacing w:before="4800" w:after="120"/>
        <w:jc w:val="center"/>
      </w:pPr>
      <w:r>
        <w:rPr>
          <w:rFonts w:ascii="Georgia" w:hAnsi="Georgia"/>
          <w:b/>
          <w:color w:val="1E2A44"/>
          <w:sz w:val="36"/>
        </w:rPr>
        <w:t>Copyright &amp; Personal Use Notice</w:t>
      </w:r>
    </w:p>
    <w:p>
      <w:pPr>
        <w:spacing w:before="360" w:after="120"/>
        <w:jc w:val="center"/>
        <w:ind w:left="1200" w:right="1200"/>
      </w:pPr>
      <w:r>
        <w:rPr>
          <w:rFonts w:ascii="Lato" w:hAnsi="Lato"/>
          <w:b/>
          <w:color w:val="1E2A44"/>
          <w:sz w:val="24"/>
        </w:rPr>
        <w:t xml:space="preserve">For personal use only.</w:t>
      </w:r>
      <w:r>
        <w:rPr>
          <w:rFonts w:ascii="Lato" w:hAnsi="Lato"/>
          <w:color w:val="333333"/>
          <w:sz w:val="24"/>
        </w:rPr>
        <w:t xml:space="preserve"> This workbook may be downloaded, edited and printed for your personal use. It may not be resold, redistributed, republished or used commercially without permission from The Retirement Toolkit.</w:t>
      </w:r>
    </w:p>
    <w:p>
      <w:r>
        <w:br w:type="page"/>
      </w:r>
    </w:p>
    <w:p>
      <w:pPr>
        <w:spacing w:before="240" w:after="120"/>
      </w:pPr>
      <w:r>
        <w:rPr>
          <w:rFonts w:ascii="Georgia" w:hAnsi="Georgia"/>
          <w:b/>
          <w:color w:val="1E2A44"/>
          <w:sz w:val="44"/>
        </w:rPr>
        <w:t>Welcome — a note from Barry</w:t>
      </w:r>
    </w:p>
    <w:p>
      <w:pPr>
        <w:spacing w:after="120"/>
      </w:pPr>
      <w:r>
        <w:rPr>
          <w:rFonts w:ascii="Lato" w:hAnsi="Lato"/>
          <w:i/>
          <w:color w:val="555555"/>
          <w:sz w:val="20"/>
        </w:rPr>
        <w:t>Foreword</w:t>
      </w:r>
    </w:p>
    <w:p>
      <w:pPr>
        <w:spacing w:after="120"/>
        <w:jc w:val="both"/>
      </w:pPr>
      <w:r>
        <w:rPr>
          <w:rFonts w:ascii="Lato" w:hAnsi="Lato"/>
          <w:color w:val="222222"/>
          <w:sz w:val="21"/>
        </w:rPr>
        <w:t>G'day. If you're holding this workbook, chances are you're somewhere between fifty and seventy, and you've had one of those quiet moments where you thought — I really should get my super sorted.</w:t>
      </w:r>
    </w:p>
    <w:p>
      <w:pPr>
        <w:spacing w:after="120"/>
        <w:jc w:val="both"/>
      </w:pPr>
      <w:r>
        <w:rPr>
          <w:rFonts w:ascii="Lato" w:hAnsi="Lato"/>
          <w:color w:val="222222"/>
          <w:sz w:val="21"/>
        </w:rPr>
        <w:t>This isn't a book about beating the market or picking the perfect fund. It's a place to write things down: what you have, where it lives, how it's growing, and what you'd like it to do for you. That's it.</w:t>
      </w:r>
    </w:p>
    <w:p>
      <w:pPr>
        <w:spacing w:after="120"/>
        <w:jc w:val="both"/>
      </w:pPr>
      <w:r>
        <w:rPr>
          <w:rFonts w:ascii="Lato" w:hAnsi="Lato"/>
          <w:color w:val="222222"/>
          <w:sz w:val="21"/>
        </w:rPr>
        <w:t>Take it a page at a time. Fill in what you know today. Come back next month and fill in a bit more. In twelve months you'll have something genuinely valuable — a clear, honest picture of your retirement finances in your own handwriting.</w:t>
      </w:r>
    </w:p>
    <w:tbl>
      <w:tblPr>
        <w:tblW w:type="auto" w:w="0"/>
        <w:tblLayout w:type="autofit"/>
        <w:tblLook w:firstColumn="1" w:firstRow="1" w:lastColumn="0" w:lastRow="0" w:noHBand="0" w:noVBand="1" w:val="04A0"/>
      </w:tblPr>
      <w:tblGrid>
        <w:gridCol w:w="9746"/>
      </w:tblGrid>
      <w:tr>
        <w:tc>
          <w:tcPr>
            <w:tcW w:type="dxa" w:w="9746"/>
            <w:shd w:val="clear" w:color="auto" w:fill="C88B3A"/>
            <w:tcBorders>
              <w:top w:val="single" w:sz="8" w:color="C88B3A"/>
              <w:left w:val="single" w:sz="8" w:color="C88B3A"/>
              <w:bottom w:val="single" w:sz="8" w:color="C88B3A"/>
              <w:right w:val="single" w:sz="8" w:color="C88B3A"/>
            </w:tcBorders>
          </w:tcPr>
          <w:p>
            <w:r>
              <w:rPr>
                <w:rFonts w:ascii="Georgia" w:hAnsi="Georgia"/>
                <w:b/>
                <w:color w:val="FFFFFF"/>
                <w:sz w:val="22"/>
              </w:rPr>
              <w:t>Important</w:t>
            </w:r>
          </w:p>
          <w:p>
            <w:r>
              <w:rPr>
                <w:rFonts w:ascii="Lato" w:hAnsi="Lato"/>
                <w:color w:val="FFFFFF"/>
                <w:sz w:val="20"/>
              </w:rPr>
              <w:t>This workbook is a personal organiser. It does not provide financial advice. For advice about your own situation, speak with a licensed financial adviser in Australia.</w:t>
            </w:r>
          </w:p>
        </w:tc>
      </w:tr>
    </w:tbl>
    <w:p/>
    <w:p>
      <w:r>
        <w:br w:type="page"/>
      </w:r>
    </w:p>
    <w:p>
      <w:pPr>
        <w:spacing w:before="240" w:after="120"/>
      </w:pPr>
      <w:r>
        <w:rPr>
          <w:rFonts w:ascii="Georgia" w:hAnsi="Georgia"/>
          <w:b/>
          <w:color w:val="1E2A44"/>
          <w:sz w:val="44"/>
        </w:rPr>
        <w:t>How to use this workbook</w:t>
      </w:r>
    </w:p>
    <w:p>
      <w:pPr>
        <w:spacing w:after="120"/>
      </w:pPr>
      <w:r>
        <w:rPr>
          <w:rFonts w:ascii="Lato" w:hAnsi="Lato"/>
          <w:i/>
          <w:color w:val="555555"/>
          <w:sz w:val="20"/>
        </w:rPr>
        <w:t>A short guide before you start</w:t>
      </w:r>
    </w:p>
    <w:p>
      <w:pPr>
        <w:spacing w:after="120"/>
        <w:jc w:val="both"/>
      </w:pPr>
      <w:r>
        <w:rPr>
          <w:rFonts w:ascii="Lato" w:hAnsi="Lato"/>
          <w:color w:val="222222"/>
          <w:sz w:val="21"/>
        </w:rPr>
        <w:t>There are nineteen sections. You do not have to fill them in order, and you do not have to fill them all at once. Skip anything that doesn't apply to you.</w:t>
      </w:r>
    </w:p>
    <w:p>
      <w:pPr>
        <w:spacing w:after="120"/>
        <w:jc w:val="both"/>
      </w:pPr>
      <w:r>
        <w:rPr>
          <w:rFonts w:ascii="Lato" w:hAnsi="Lato"/>
          <w:color w:val="222222"/>
          <w:sz w:val="21"/>
        </w:rPr>
        <w:t>Grab your most recent super statements, your myGov login, and a cup of tea. A pencil is fine — you'll change your mind about things, and pencil forgives.</w:t>
      </w:r>
    </w:p>
    <w:tbl>
      <w:tblPr>
        <w:tblW w:type="auto" w:w="0"/>
        <w:tblLook w:firstColumn="1" w:firstRow="1" w:lastColumn="0" w:lastRow="0" w:noHBand="0" w:noVBand="1" w:val="04A0"/>
      </w:tblPr>
      <w:tblGrid>
        <w:gridCol w:w="9746"/>
      </w:tblGrid>
      <w:tr>
        <w:tc>
          <w:tcPr>
            <w:tcW w:type="dxa" w:w="9746"/>
            <w:shd w:val="clear" w:color="auto" w:fill="F5F1EA"/>
            <w:tcBorders>
              <w:top w:val="single" w:sz="6" w:color="E4DCC9"/>
              <w:left w:val="single" w:sz="6" w:color="E4DCC9"/>
              <w:bottom w:val="single" w:sz="6" w:color="E4DCC9"/>
              <w:right w:val="single" w:sz="6" w:color="E4DCC9"/>
            </w:tcBorders>
          </w:tcPr>
          <w:p>
            <w:r>
              <w:rPr>
                <w:rFonts w:ascii="Georgia" w:hAnsi="Georgia"/>
                <w:b/>
                <w:color w:val="1E2A44"/>
                <w:sz w:val="22"/>
              </w:rPr>
              <w:t>A few gentle rules</w:t>
            </w:r>
          </w:p>
          <w:p>
            <w:r>
              <w:rPr>
                <w:rFonts w:ascii="Lato" w:hAnsi="Lato"/>
                <w:color w:val="222222"/>
                <w:sz w:val="20"/>
              </w:rPr>
              <w:t>Write in pencil for anything you might update.  Do NOT write your Tax File Number anywhere in this book.  Store the workbook somewhere safe — it contains personal information.  Tell one trusted person where it lives.</w:t>
            </w:r>
          </w:p>
        </w:tc>
      </w:tr>
    </w:tbl>
    <w:p/>
    <w:p>
      <w:r>
        <w:br w:type="page"/>
      </w:r>
    </w:p>
    <w:p>
      <w:pPr>
        <w:spacing w:before="240" w:after="120"/>
      </w:pPr>
      <w:r>
        <w:rPr>
          <w:rFonts w:ascii="Georgia" w:hAnsi="Georgia"/>
          <w:b/>
          <w:color w:val="1E2A44"/>
          <w:sz w:val="44"/>
        </w:rPr>
        <w:t>Contents</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Section</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01</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Personal Super Profile</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02</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Super Fund Register</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03</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Multiple Fund Register</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04</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Employer Contributions</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05</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Personal Contributions</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06</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Salary Sacrifice</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07</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Government Contributions</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08</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Investment Options</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09</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Insurance Review</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10</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Fees</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11</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Beneficiaries</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12</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Annual Balance Tracker</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13</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Annual Super Review Checklist</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14</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Retirement Readiness Score</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15</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Action Plan for the Next 12 Months</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16</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Notes</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17</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Useful Australian Resources</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18</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About Barry</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19</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About Retirement GenX Tools</w:t>
            </w:r>
          </w:p>
        </w:tc>
      </w:tr>
    </w:tbl>
    <w:p/>
    <w:p>
      <w:r>
        <w:br w:type="page"/>
      </w:r>
    </w:p>
    <w:p>
      <w:r>
        <w:br w:type="page"/>
      </w:r>
    </w:p>
    <w:p/>
    <w:p/>
    <w:p/>
    <w:p/>
    <w:p/>
    <w:p/>
    <w:p>
      <w:pPr>
        <w:jc w:val="center"/>
      </w:pPr>
      <w:r>
        <w:rPr>
          <w:rFonts w:ascii="Lato" w:hAnsi="Lato"/>
          <w:b/>
          <w:color w:val="C88B3A"/>
          <w:sz w:val="24"/>
        </w:rPr>
        <w:t>SECTION 01</w:t>
      </w:r>
    </w:p>
    <w:p>
      <w:pPr>
        <w:jc w:val="center"/>
      </w:pPr>
      <w:r>
        <w:rPr>
          <w:rFonts w:ascii="Georgia" w:hAnsi="Georgia"/>
          <w:b/>
          <w:color w:val="1E2A44"/>
          <w:sz w:val="56"/>
        </w:rPr>
        <w:t>Personal Super Profile</w:t>
      </w:r>
    </w:p>
    <w:p>
      <w:pPr>
        <w:jc w:val="center"/>
      </w:pPr>
      <w:r>
        <w:rPr>
          <w:rFonts w:ascii="Lato" w:hAnsi="Lato"/>
          <w:i/>
          <w:color w:val="555555"/>
          <w:sz w:val="22"/>
        </w:rPr>
        <w:t>Your snapshot — who you are, where you're headed, and what you're tracking.</w:t>
      </w:r>
    </w:p>
    <w:p>
      <w:r>
        <w:br w:type="page"/>
      </w:r>
    </w:p>
    <w:p>
      <w:pPr>
        <w:spacing w:before="240" w:after="120"/>
      </w:pPr>
      <w:r>
        <w:rPr>
          <w:rFonts w:ascii="Georgia" w:hAnsi="Georgia"/>
          <w:b/>
          <w:color w:val="1E2A44"/>
          <w:sz w:val="44"/>
        </w:rPr>
        <w:t>Personal Super Profile</w:t>
      </w:r>
    </w:p>
    <w:p>
      <w:pPr>
        <w:spacing w:after="120"/>
      </w:pPr>
      <w:r>
        <w:rPr>
          <w:rFonts w:ascii="Lato" w:hAnsi="Lato"/>
          <w:i/>
          <w:color w:val="555555"/>
          <w:sz w:val="20"/>
        </w:rPr>
        <w:t>Section 1 · Your starting point</w:t>
      </w:r>
    </w:p>
    <w:p>
      <w:pPr>
        <w:spacing w:after="120"/>
        <w:jc w:val="both"/>
      </w:pPr>
      <w:r>
        <w:rPr>
          <w:rFonts w:ascii="Lato" w:hAnsi="Lato"/>
          <w:color w:val="222222"/>
          <w:sz w:val="21"/>
        </w:rPr>
        <w:t>This first section is your at-a-glance summary. Fill it in with the basics: your name, when you started thinking seriously about retirement, the age you're aiming to finish work, and the super funds you currently hold. Come back and update it every year, or whenever something changes.</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Field</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Your Answer</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Full name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Preferred name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Date of birth</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Date this workbook started</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Current age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Retirement goal age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Years remaining to goal age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Current employment status</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Occupation / industry</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State / territory</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Total number of super funds held</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Primary super fund</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Emergency contact (name &amp; phone)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bl>
    <w:p/>
    <w:tbl>
      <w:tblPr>
        <w:tblW w:type="auto" w:w="0"/>
        <w:tblLayout w:type="autofit"/>
        <w:tblLook w:firstColumn="1" w:firstRow="1" w:lastColumn="0" w:lastRow="0" w:noHBand="0" w:noVBand="1" w:val="04A0"/>
      </w:tblPr>
      <w:tblGrid>
        <w:gridCol w:w="9746"/>
      </w:tblGrid>
      <w:tr>
        <w:tc>
          <w:tcPr>
            <w:tcW w:type="dxa" w:w="9746"/>
            <w:shd w:val="clear" w:color="auto" w:fill="C88B3A"/>
            <w:tcBorders>
              <w:top w:val="single" w:sz="8" w:color="C88B3A"/>
              <w:left w:val="single" w:sz="8" w:color="C88B3A"/>
              <w:bottom w:val="single" w:sz="8" w:color="C88B3A"/>
              <w:right w:val="single" w:sz="8" w:color="C88B3A"/>
            </w:tcBorders>
          </w:tcPr>
          <w:p>
            <w:r>
              <w:rPr>
                <w:rFonts w:ascii="Georgia" w:hAnsi="Georgia"/>
                <w:b/>
                <w:color w:val="FFFFFF"/>
                <w:sz w:val="22"/>
              </w:rPr>
              <w:t>Tax File Number reminder</w:t>
            </w:r>
          </w:p>
          <w:p>
            <w:r>
              <w:rPr>
                <w:rFonts w:ascii="Lato" w:hAnsi="Lato"/>
                <w:color w:val="FFFFFF"/>
                <w:sz w:val="20"/>
              </w:rPr>
              <w:t>Your Tax File Number (TFN) matters — funds that don't have your TFN may pay less into your account. Do NOT write your TFN in this workbook. Instead, tick the box below once you've confirmed each fund has your TFN on file. You can check via myGov or by calling the fund directly.</w:t>
            </w:r>
          </w:p>
        </w:tc>
      </w:tr>
    </w:tbl>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TFN Confirmation Checklist</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Confirmed</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Fund 1 has my TFN on file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Fund 2 has my TFN on file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Fund 3 has my TFN on file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Fund 4 has my TFN on file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myGov linked to ATO super services</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r>
    </w:tbl>
    <w:p/>
    <w:p>
      <w:pPr>
        <w:spacing w:before="240" w:after="120"/>
      </w:pPr>
      <w:r>
        <w:rPr>
          <w:rFonts w:ascii="Georgia" w:hAnsi="Georgia"/>
          <w:b/>
          <w:color w:val="C88B3A"/>
          <w:sz w:val="24"/>
        </w:rPr>
        <w:t>Personal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02</w:t>
      </w:r>
    </w:p>
    <w:p>
      <w:pPr>
        <w:jc w:val="center"/>
      </w:pPr>
      <w:r>
        <w:rPr>
          <w:rFonts w:ascii="Georgia" w:hAnsi="Georgia"/>
          <w:b/>
          <w:color w:val="1E2A44"/>
          <w:sz w:val="56"/>
        </w:rPr>
        <w:t>Super Fund Register</w:t>
      </w:r>
    </w:p>
    <w:p>
      <w:pPr>
        <w:jc w:val="center"/>
      </w:pPr>
      <w:r>
        <w:rPr>
          <w:rFonts w:ascii="Lato" w:hAnsi="Lato"/>
          <w:i/>
          <w:color w:val="555555"/>
          <w:sz w:val="22"/>
        </w:rPr>
        <w:t>One page per fund — a complete record of every account you hold.</w:t>
      </w:r>
    </w:p>
    <w:p>
      <w:r>
        <w:br w:type="page"/>
      </w:r>
    </w:p>
    <w:p>
      <w:pPr>
        <w:spacing w:before="240" w:after="120"/>
      </w:pPr>
      <w:r>
        <w:rPr>
          <w:rFonts w:ascii="Georgia" w:hAnsi="Georgia"/>
          <w:b/>
          <w:color w:val="1E2A44"/>
          <w:sz w:val="44"/>
        </w:rPr>
        <w:t>Super Fund Register</w:t>
      </w:r>
    </w:p>
    <w:p>
      <w:pPr>
        <w:spacing w:after="120"/>
      </w:pPr>
      <w:r>
        <w:rPr>
          <w:rFonts w:ascii="Lato" w:hAnsi="Lato"/>
          <w:i/>
          <w:color w:val="555555"/>
          <w:sz w:val="20"/>
        </w:rPr>
        <w:t>Section 2 · Know your funds</w:t>
      </w:r>
    </w:p>
    <w:p>
      <w:pPr>
        <w:spacing w:after="120"/>
        <w:jc w:val="both"/>
      </w:pPr>
      <w:r>
        <w:rPr>
          <w:rFonts w:ascii="Lato" w:hAnsi="Lato"/>
          <w:color w:val="222222"/>
          <w:sz w:val="21"/>
        </w:rPr>
        <w:t>Complete one register per super fund. Include the fund name, your member number, the current balance, your investment option, any insurance held inside super, and the fund's contact details.</w:t>
      </w:r>
    </w:p>
    <w:p>
      <w:pPr>
        <w:spacing w:before="240" w:after="120"/>
      </w:pPr>
      <w:r>
        <w:rPr>
          <w:rFonts w:ascii="Georgia" w:hAnsi="Georgia"/>
          <w:b/>
          <w:color w:val="C88B3A"/>
          <w:sz w:val="24"/>
        </w:rPr>
        <w:t>Fund #1</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Detail</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Your Entry</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Fund name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USI / ABN (if known)</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Member number</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Date joined</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Statement date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Current balance ($)</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Investment option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Insurance inside super (Y/N)</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Insurance types held</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Fund phone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Fund website / login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Financial adviser (if any)</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p>
      <w:pPr>
        <w:spacing w:before="240" w:after="120"/>
      </w:pPr>
      <w:r>
        <w:rPr>
          <w:rFonts w:ascii="Georgia" w:hAnsi="Georgia"/>
          <w:b/>
          <w:color w:val="C88B3A"/>
          <w:sz w:val="24"/>
        </w:rPr>
        <w:t>Fund #2</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Detail</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Your Entry</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Fund name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USI / ABN (if known)</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Member number</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Date joined</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Statement date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Current balance ($)</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Investment option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Insurance inside super (Y/N)</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Insurance types held</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Fund phone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Fund website / login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Financial adviser (if any)</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p>
      <w:pPr>
        <w:spacing w:before="240" w:after="120"/>
      </w:pPr>
      <w:r>
        <w:rPr>
          <w:rFonts w:ascii="Georgia" w:hAnsi="Georgia"/>
          <w:b/>
          <w:color w:val="C88B3A"/>
          <w:sz w:val="24"/>
        </w:rPr>
        <w:t>Fund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03</w:t>
      </w:r>
    </w:p>
    <w:p>
      <w:pPr>
        <w:jc w:val="center"/>
      </w:pPr>
      <w:r>
        <w:rPr>
          <w:rFonts w:ascii="Georgia" w:hAnsi="Georgia"/>
          <w:b/>
          <w:color w:val="1E2A44"/>
          <w:sz w:val="56"/>
        </w:rPr>
        <w:t>Multiple Fund Register</w:t>
      </w:r>
    </w:p>
    <w:p>
      <w:pPr>
        <w:jc w:val="center"/>
      </w:pPr>
      <w:r>
        <w:rPr>
          <w:rFonts w:ascii="Lato" w:hAnsi="Lato"/>
          <w:i/>
          <w:color w:val="555555"/>
          <w:sz w:val="22"/>
        </w:rPr>
        <w:t>Track more than one account — and think carefully before combining them.</w:t>
      </w:r>
    </w:p>
    <w:p>
      <w:r>
        <w:br w:type="page"/>
      </w:r>
    </w:p>
    <w:p>
      <w:pPr>
        <w:spacing w:before="240" w:after="120"/>
      </w:pPr>
      <w:r>
        <w:rPr>
          <w:rFonts w:ascii="Georgia" w:hAnsi="Georgia"/>
          <w:b/>
          <w:color w:val="1E2A44"/>
          <w:sz w:val="44"/>
        </w:rPr>
        <w:t>Multiple Fund Register</w:t>
      </w:r>
    </w:p>
    <w:p>
      <w:pPr>
        <w:spacing w:after="120"/>
      </w:pPr>
      <w:r>
        <w:rPr>
          <w:rFonts w:ascii="Lato" w:hAnsi="Lato"/>
          <w:i/>
          <w:color w:val="555555"/>
          <w:sz w:val="20"/>
        </w:rPr>
        <w:t>Section 3 · If you hold more than one fund</w:t>
      </w:r>
    </w:p>
    <w:p>
      <w:pPr>
        <w:spacing w:after="120"/>
        <w:jc w:val="both"/>
      </w:pPr>
      <w:r>
        <w:rPr>
          <w:rFonts w:ascii="Lato" w:hAnsi="Lato"/>
          <w:color w:val="222222"/>
          <w:sz w:val="21"/>
        </w:rPr>
        <w:t>Many Australians end up with several super accounts across their working life. This section helps you record them all in one view, and think through the right questions before making any changes.</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Fund Name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Member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Balance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Insurance?</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tbl>
      <w:tblPr>
        <w:tblW w:type="auto" w:w="0"/>
        <w:tblLook w:firstColumn="1" w:firstRow="1" w:lastColumn="0" w:lastRow="0" w:noHBand="0" w:noVBand="1" w:val="04A0"/>
      </w:tblPr>
      <w:tblGrid>
        <w:gridCol w:w="9746"/>
      </w:tblGrid>
      <w:tr>
        <w:tc>
          <w:tcPr>
            <w:tcW w:type="dxa" w:w="9746"/>
            <w:shd w:val="clear" w:color="auto" w:fill="F5F1EA"/>
            <w:tcBorders>
              <w:top w:val="single" w:sz="6" w:color="E4DCC9"/>
              <w:left w:val="single" w:sz="6" w:color="E4DCC9"/>
              <w:bottom w:val="single" w:sz="6" w:color="E4DCC9"/>
              <w:right w:val="single" w:sz="6" w:color="E4DCC9"/>
            </w:tcBorders>
          </w:tcPr>
          <w:p>
            <w:r>
              <w:rPr>
                <w:rFonts w:ascii="Georgia" w:hAnsi="Georgia"/>
                <w:b/>
                <w:color w:val="1E2A44"/>
                <w:sz w:val="22"/>
              </w:rPr>
              <w:t>Possible advantages of consolidating</w:t>
            </w:r>
          </w:p>
          <w:p>
            <w:r>
              <w:rPr>
                <w:rFonts w:ascii="Lato" w:hAnsi="Lato"/>
                <w:color w:val="222222"/>
                <w:sz w:val="20"/>
              </w:rPr>
              <w:t>One set of fees instead of several.  Simpler paperwork and one login.  Easier to see the whole picture.  Fewer statements to keep track of.</w:t>
            </w:r>
          </w:p>
        </w:tc>
      </w:tr>
    </w:tbl>
    <w:p/>
    <w:tbl>
      <w:tblPr>
        <w:tblW w:type="auto" w:w="0"/>
        <w:tblLook w:firstColumn="1" w:firstRow="1" w:lastColumn="0" w:lastRow="0" w:noHBand="0" w:noVBand="1" w:val="04A0"/>
      </w:tblPr>
      <w:tblGrid>
        <w:gridCol w:w="9746"/>
      </w:tblGrid>
      <w:tr>
        <w:tc>
          <w:tcPr>
            <w:tcW w:type="dxa" w:w="9746"/>
            <w:shd w:val="clear" w:color="auto" w:fill="F5F1EA"/>
            <w:tcBorders>
              <w:top w:val="single" w:sz="6" w:color="E4DCC9"/>
              <w:left w:val="single" w:sz="6" w:color="E4DCC9"/>
              <w:bottom w:val="single" w:sz="6" w:color="E4DCC9"/>
              <w:right w:val="single" w:sz="6" w:color="E4DCC9"/>
            </w:tcBorders>
          </w:tcPr>
          <w:p>
            <w:r>
              <w:rPr>
                <w:rFonts w:ascii="Georgia" w:hAnsi="Georgia"/>
                <w:b/>
                <w:color w:val="1E2A44"/>
                <w:sz w:val="22"/>
              </w:rPr>
              <w:t>Possible advantages of keeping separate funds</w:t>
            </w:r>
          </w:p>
          <w:p>
            <w:r>
              <w:rPr>
                <w:rFonts w:ascii="Lato" w:hAnsi="Lato"/>
                <w:color w:val="222222"/>
                <w:sz w:val="20"/>
              </w:rPr>
              <w:t>You may keep valuable insurance cover that is hard to replace.  Different funds may offer different investment options.  Some funds have unique member benefits.  Diversification of providers.</w:t>
            </w:r>
          </w:p>
        </w:tc>
      </w:tr>
    </w:tbl>
    <w:p/>
    <w:tbl>
      <w:tblPr>
        <w:tblW w:type="auto" w:w="0"/>
        <w:tblLayout w:type="autofit"/>
        <w:tblLook w:firstColumn="1" w:firstRow="1" w:lastColumn="0" w:lastRow="0" w:noHBand="0" w:noVBand="1" w:val="04A0"/>
      </w:tblPr>
      <w:tblGrid>
        <w:gridCol w:w="9746"/>
      </w:tblGrid>
      <w:tr>
        <w:tc>
          <w:tcPr>
            <w:tcW w:type="dxa" w:w="9746"/>
            <w:shd w:val="clear" w:color="auto" w:fill="5B8A72"/>
            <w:tcBorders>
              <w:top w:val="single" w:sz="8" w:color="5B8A72"/>
              <w:left w:val="single" w:sz="8" w:color="5B8A72"/>
              <w:bottom w:val="single" w:sz="8" w:color="5B8A72"/>
              <w:right w:val="single" w:sz="8" w:color="5B8A72"/>
            </w:tcBorders>
          </w:tcPr>
          <w:p>
            <w:r>
              <w:rPr>
                <w:rFonts w:ascii="Georgia" w:hAnsi="Georgia"/>
                <w:b/>
                <w:color w:val="FFFFFF"/>
                <w:sz w:val="22"/>
              </w:rPr>
              <w:t>Ask these questions before consolidating</w:t>
            </w:r>
          </w:p>
          <w:p>
            <w:r>
              <w:rPr>
                <w:rFonts w:ascii="Lato" w:hAnsi="Lato"/>
                <w:color w:val="FFFFFF"/>
                <w:sz w:val="20"/>
              </w:rPr>
              <w:t>1. Will I lose any insurance cover I want to keep?   2. Are there exit fees or tax consequences?   3. Am I moving out of a good-performing fund?   4. Have I compared long-term fees and performance?   5. Is my chosen fund appropriate for my age and stage?</w:t>
            </w:r>
          </w:p>
        </w:tc>
      </w:tr>
    </w:tbl>
    <w:p/>
    <w:p>
      <w:pPr>
        <w:spacing w:before="240" w:after="120"/>
      </w:pPr>
      <w:r>
        <w:rPr>
          <w:rFonts w:ascii="Georgia" w:hAnsi="Georgia"/>
          <w:b/>
          <w:color w:val="C88B3A"/>
          <w:sz w:val="24"/>
        </w:rPr>
        <w:t>Consolidation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04</w:t>
      </w:r>
    </w:p>
    <w:p>
      <w:pPr>
        <w:jc w:val="center"/>
      </w:pPr>
      <w:r>
        <w:rPr>
          <w:rFonts w:ascii="Georgia" w:hAnsi="Georgia"/>
          <w:b/>
          <w:color w:val="1E2A44"/>
          <w:sz w:val="56"/>
        </w:rPr>
        <w:t>Employer Contributions</w:t>
      </w:r>
    </w:p>
    <w:p>
      <w:pPr>
        <w:jc w:val="center"/>
      </w:pPr>
      <w:r>
        <w:rPr>
          <w:rFonts w:ascii="Lato" w:hAnsi="Lato"/>
          <w:i/>
          <w:color w:val="555555"/>
          <w:sz w:val="22"/>
        </w:rPr>
        <w:t>The Super Guarantee at work — track what lands in your account.</w:t>
      </w:r>
    </w:p>
    <w:p>
      <w:r>
        <w:br w:type="page"/>
      </w:r>
    </w:p>
    <w:p>
      <w:pPr>
        <w:spacing w:before="240" w:after="120"/>
      </w:pPr>
      <w:r>
        <w:rPr>
          <w:rFonts w:ascii="Georgia" w:hAnsi="Georgia"/>
          <w:b/>
          <w:color w:val="1E2A44"/>
          <w:sz w:val="44"/>
        </w:rPr>
        <w:t>Employer Contributions</w:t>
      </w:r>
    </w:p>
    <w:p>
      <w:pPr>
        <w:spacing w:after="120"/>
      </w:pPr>
      <w:r>
        <w:rPr>
          <w:rFonts w:ascii="Lato" w:hAnsi="Lato"/>
          <w:i/>
          <w:color w:val="555555"/>
          <w:sz w:val="20"/>
        </w:rPr>
        <w:t>Section 4 · Money paid in by your employer</w:t>
      </w:r>
    </w:p>
    <w:p>
      <w:pPr>
        <w:spacing w:after="120"/>
        <w:jc w:val="both"/>
      </w:pPr>
      <w:r>
        <w:rPr>
          <w:rFonts w:ascii="Lato" w:hAnsi="Lato"/>
          <w:color w:val="222222"/>
          <w:sz w:val="21"/>
        </w:rPr>
        <w:t>Employers in Australia are required to pay the Super Guarantee into your fund at regular intervals. Use this table to record each contribution as it arrives. Reviewing this over time makes it easy to spot missed payments.</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Date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Employer</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Contribution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Notes</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p>
      <w:pPr>
        <w:spacing w:before="240" w:after="120"/>
      </w:pPr>
      <w:r>
        <w:rPr>
          <w:rFonts w:ascii="Georgia" w:hAnsi="Georgia"/>
          <w:b/>
          <w:color w:val="C88B3A"/>
          <w:sz w:val="24"/>
        </w:rPr>
        <w:t>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05</w:t>
      </w:r>
    </w:p>
    <w:p>
      <w:pPr>
        <w:jc w:val="center"/>
      </w:pPr>
      <w:r>
        <w:rPr>
          <w:rFonts w:ascii="Georgia" w:hAnsi="Georgia"/>
          <w:b/>
          <w:color w:val="1E2A44"/>
          <w:sz w:val="56"/>
        </w:rPr>
        <w:t>Personal Contributions</w:t>
      </w:r>
    </w:p>
    <w:p>
      <w:pPr>
        <w:jc w:val="center"/>
      </w:pPr>
      <w:r>
        <w:rPr>
          <w:rFonts w:ascii="Lato" w:hAnsi="Lato"/>
          <w:i/>
          <w:color w:val="555555"/>
          <w:sz w:val="22"/>
        </w:rPr>
        <w:t>Money you have added yourself — after-tax or claimed as a deduction.</w:t>
      </w:r>
    </w:p>
    <w:p>
      <w:r>
        <w:br w:type="page"/>
      </w:r>
    </w:p>
    <w:p>
      <w:pPr>
        <w:spacing w:before="240" w:after="120"/>
      </w:pPr>
      <w:r>
        <w:rPr>
          <w:rFonts w:ascii="Georgia" w:hAnsi="Georgia"/>
          <w:b/>
          <w:color w:val="1E2A44"/>
          <w:sz w:val="44"/>
        </w:rPr>
        <w:t>Personal Contributions</w:t>
      </w:r>
    </w:p>
    <w:p>
      <w:pPr>
        <w:spacing w:after="120"/>
      </w:pPr>
      <w:r>
        <w:rPr>
          <w:rFonts w:ascii="Lato" w:hAnsi="Lato"/>
          <w:i/>
          <w:color w:val="555555"/>
          <w:sz w:val="20"/>
        </w:rPr>
        <w:t>Section 5 · Your own top-ups</w:t>
      </w:r>
    </w:p>
    <w:p>
      <w:pPr>
        <w:spacing w:after="120"/>
        <w:jc w:val="both"/>
      </w:pPr>
      <w:r>
        <w:rPr>
          <w:rFonts w:ascii="Lato" w:hAnsi="Lato"/>
          <w:color w:val="222222"/>
          <w:sz w:val="21"/>
        </w:rPr>
        <w:t>Any amount you pay into super from your own pocket is a personal contribution. It might be after-tax (non-concessional) or one you plan to claim as a tax deduction (concessional). Track them here so you have a clean record at tax time.</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Date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Amount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Contribution Type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Notes</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p>
      <w:pPr>
        <w:spacing w:before="240" w:after="120"/>
      </w:pPr>
      <w:r>
        <w:rPr>
          <w:rFonts w:ascii="Georgia" w:hAnsi="Georgia"/>
          <w:b/>
          <w:color w:val="C88B3A"/>
          <w:sz w:val="24"/>
        </w:rPr>
        <w:t>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06</w:t>
      </w:r>
    </w:p>
    <w:p>
      <w:pPr>
        <w:jc w:val="center"/>
      </w:pPr>
      <w:r>
        <w:rPr>
          <w:rFonts w:ascii="Georgia" w:hAnsi="Georgia"/>
          <w:b/>
          <w:color w:val="1E2A44"/>
          <w:sz w:val="56"/>
        </w:rPr>
        <w:t>Salary Sacrifice</w:t>
      </w:r>
    </w:p>
    <w:p>
      <w:pPr>
        <w:jc w:val="center"/>
      </w:pPr>
      <w:r>
        <w:rPr>
          <w:rFonts w:ascii="Lato" w:hAnsi="Lato"/>
          <w:i/>
          <w:color w:val="555555"/>
          <w:sz w:val="22"/>
        </w:rPr>
        <w:t>Regular arrangements set up through your employer — tracked over time.</w:t>
      </w:r>
    </w:p>
    <w:p>
      <w:r>
        <w:br w:type="page"/>
      </w:r>
    </w:p>
    <w:p>
      <w:pPr>
        <w:spacing w:before="240" w:after="120"/>
      </w:pPr>
      <w:r>
        <w:rPr>
          <w:rFonts w:ascii="Georgia" w:hAnsi="Georgia"/>
          <w:b/>
          <w:color w:val="1E2A44"/>
          <w:sz w:val="44"/>
        </w:rPr>
        <w:t>Salary Sacrifice</w:t>
      </w:r>
    </w:p>
    <w:p>
      <w:pPr>
        <w:spacing w:after="120"/>
      </w:pPr>
      <w:r>
        <w:rPr>
          <w:rFonts w:ascii="Lato" w:hAnsi="Lato"/>
          <w:i/>
          <w:color w:val="555555"/>
          <w:sz w:val="20"/>
        </w:rPr>
        <w:t>Section 6 · Extra super from your pre-tax pay</w:t>
      </w:r>
    </w:p>
    <w:p>
      <w:pPr>
        <w:spacing w:after="120"/>
        <w:jc w:val="both"/>
      </w:pPr>
      <w:r>
        <w:rPr>
          <w:rFonts w:ascii="Lato" w:hAnsi="Lato"/>
          <w:color w:val="222222"/>
          <w:sz w:val="21"/>
        </w:rPr>
        <w:t>A salary sacrifice arrangement lets your employer pay part of your pre-tax salary into your super. Use these tables to record the arrangement and each contribution as it appears.</w:t>
      </w:r>
    </w:p>
    <w:p>
      <w:pPr>
        <w:spacing w:before="240" w:after="120"/>
      </w:pPr>
      <w:r>
        <w:rPr>
          <w:rFonts w:ascii="Georgia" w:hAnsi="Georgia"/>
          <w:b/>
          <w:color w:val="C88B3A"/>
          <w:sz w:val="24"/>
        </w:rPr>
        <w:t>Current arrangement</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Detail</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Entry</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Employer</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Arrangement start date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Amount per pay period ($ or %)</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Pay frequency</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Estimated annual total ($)</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Review date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p>
      <w:pPr>
        <w:spacing w:before="240" w:after="120"/>
      </w:pPr>
      <w:r>
        <w:rPr>
          <w:rFonts w:ascii="Georgia" w:hAnsi="Georgia"/>
          <w:b/>
          <w:color w:val="C88B3A"/>
          <w:sz w:val="24"/>
        </w:rPr>
        <w:t>Contributions tracked</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Pay Date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Amount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Fund</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Notes</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p>
      <w:pPr>
        <w:spacing w:before="240" w:after="120"/>
      </w:pPr>
      <w:r>
        <w:rPr>
          <w:rFonts w:ascii="Georgia" w:hAnsi="Georgia"/>
          <w:b/>
          <w:color w:val="C88B3A"/>
          <w:sz w:val="24"/>
        </w:rPr>
        <w:t>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07</w:t>
      </w:r>
    </w:p>
    <w:p>
      <w:pPr>
        <w:jc w:val="center"/>
      </w:pPr>
      <w:r>
        <w:rPr>
          <w:rFonts w:ascii="Georgia" w:hAnsi="Georgia"/>
          <w:b/>
          <w:color w:val="1E2A44"/>
          <w:sz w:val="56"/>
        </w:rPr>
        <w:t>Government Contributions</w:t>
      </w:r>
    </w:p>
    <w:p>
      <w:pPr>
        <w:jc w:val="center"/>
      </w:pPr>
      <w:r>
        <w:rPr>
          <w:rFonts w:ascii="Lato" w:hAnsi="Lato"/>
          <w:i/>
          <w:color w:val="555555"/>
          <w:sz w:val="22"/>
        </w:rPr>
        <w:t>Co-contributions, low-income offsets, and other government payments into super.</w:t>
      </w:r>
    </w:p>
    <w:p>
      <w:r>
        <w:br w:type="page"/>
      </w:r>
    </w:p>
    <w:p>
      <w:pPr>
        <w:spacing w:before="240" w:after="120"/>
      </w:pPr>
      <w:r>
        <w:rPr>
          <w:rFonts w:ascii="Georgia" w:hAnsi="Georgia"/>
          <w:b/>
          <w:color w:val="1E2A44"/>
          <w:sz w:val="44"/>
        </w:rPr>
        <w:t>Government Contributions</w:t>
      </w:r>
    </w:p>
    <w:p>
      <w:pPr>
        <w:spacing w:after="120"/>
      </w:pPr>
      <w:r>
        <w:rPr>
          <w:rFonts w:ascii="Lato" w:hAnsi="Lato"/>
          <w:i/>
          <w:color w:val="555555"/>
          <w:sz w:val="20"/>
        </w:rPr>
        <w:t>Section 7 · Payments from the government</w:t>
      </w:r>
    </w:p>
    <w:p>
      <w:pPr>
        <w:spacing w:after="120"/>
        <w:jc w:val="both"/>
      </w:pPr>
      <w:r>
        <w:rPr>
          <w:rFonts w:ascii="Lato" w:hAnsi="Lato"/>
          <w:color w:val="222222"/>
          <w:sz w:val="21"/>
        </w:rPr>
        <w:t>The Australian Government may pay money into your super depending on your income. Common examples are the super co-contribution and the low-income super tax offset. Record any government payments you spot here.</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Date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Type of Payment</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Amount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Notes</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tbl>
      <w:tblPr>
        <w:tblW w:type="auto" w:w="0"/>
        <w:tblLayout w:type="autofit"/>
        <w:tblLook w:firstColumn="1" w:firstRow="1" w:lastColumn="0" w:lastRow="0" w:noHBand="0" w:noVBand="1" w:val="04A0"/>
      </w:tblPr>
      <w:tblGrid>
        <w:gridCol w:w="9746"/>
      </w:tblGrid>
      <w:tr>
        <w:tc>
          <w:tcPr>
            <w:tcW w:type="dxa" w:w="9746"/>
            <w:shd w:val="clear" w:color="auto" w:fill="5B8A72"/>
            <w:tcBorders>
              <w:top w:val="single" w:sz="8" w:color="5B8A72"/>
              <w:left w:val="single" w:sz="8" w:color="5B8A72"/>
              <w:bottom w:val="single" w:sz="8" w:color="5B8A72"/>
              <w:right w:val="single" w:sz="8" w:color="5B8A72"/>
            </w:tcBorders>
          </w:tcPr>
          <w:p>
            <w:r>
              <w:rPr>
                <w:rFonts w:ascii="Georgia" w:hAnsi="Georgia"/>
                <w:b/>
                <w:color w:val="FFFFFF"/>
                <w:sz w:val="22"/>
              </w:rPr>
              <w:t>Where to check</w:t>
            </w:r>
          </w:p>
          <w:p>
            <w:r>
              <w:rPr>
                <w:rFonts w:ascii="Lato" w:hAnsi="Lato"/>
                <w:color w:val="FFFFFF"/>
                <w:sz w:val="20"/>
              </w:rPr>
              <w:t>You can view government contributions through myGov linked to the ATO, or on your annual statement. This workbook does not determine eligibility — the ATO does.</w:t>
            </w:r>
          </w:p>
        </w:tc>
      </w:tr>
    </w:tbl>
    <w:p/>
    <w:p>
      <w:pPr>
        <w:spacing w:before="240" w:after="120"/>
      </w:pPr>
      <w:r>
        <w:rPr>
          <w:rFonts w:ascii="Georgia" w:hAnsi="Georgia"/>
          <w:b/>
          <w:color w:val="C88B3A"/>
          <w:sz w:val="24"/>
        </w:rPr>
        <w:t>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08</w:t>
      </w:r>
    </w:p>
    <w:p>
      <w:pPr>
        <w:jc w:val="center"/>
      </w:pPr>
      <w:r>
        <w:rPr>
          <w:rFonts w:ascii="Georgia" w:hAnsi="Georgia"/>
          <w:b/>
          <w:color w:val="1E2A44"/>
          <w:sz w:val="56"/>
        </w:rPr>
        <w:t>Investment Options</w:t>
      </w:r>
    </w:p>
    <w:p>
      <w:pPr>
        <w:jc w:val="center"/>
      </w:pPr>
      <w:r>
        <w:rPr>
          <w:rFonts w:ascii="Lato" w:hAnsi="Lato"/>
          <w:i/>
          <w:color w:val="555555"/>
          <w:sz w:val="22"/>
        </w:rPr>
        <w:t>How your super is invested — and when you last checked.</w:t>
      </w:r>
    </w:p>
    <w:p>
      <w:r>
        <w:br w:type="page"/>
      </w:r>
    </w:p>
    <w:p>
      <w:pPr>
        <w:spacing w:before="240" w:after="120"/>
      </w:pPr>
      <w:r>
        <w:rPr>
          <w:rFonts w:ascii="Georgia" w:hAnsi="Georgia"/>
          <w:b/>
          <w:color w:val="1E2A44"/>
          <w:sz w:val="44"/>
        </w:rPr>
        <w:t>Investment Options</w:t>
      </w:r>
    </w:p>
    <w:p>
      <w:pPr>
        <w:spacing w:after="120"/>
      </w:pPr>
      <w:r>
        <w:rPr>
          <w:rFonts w:ascii="Lato" w:hAnsi="Lato"/>
          <w:i/>
          <w:color w:val="555555"/>
          <w:sz w:val="20"/>
        </w:rPr>
        <w:t>Section 8 · What your money is doing</w:t>
      </w:r>
    </w:p>
    <w:p>
      <w:pPr>
        <w:spacing w:after="120"/>
        <w:jc w:val="both"/>
      </w:pPr>
      <w:r>
        <w:rPr>
          <w:rFonts w:ascii="Lato" w:hAnsi="Lato"/>
          <w:color w:val="222222"/>
          <w:sz w:val="21"/>
        </w:rPr>
        <w:t>Most funds offer several investment options — from higher-growth to more conservative. Record your current option for each fund, when you last reviewed it, and your understanding of its risk level.</w:t>
      </w:r>
    </w:p>
    <w:p>
      <w:pPr>
        <w:spacing w:before="240" w:after="120"/>
      </w:pPr>
      <w:r>
        <w:rPr>
          <w:rFonts w:ascii="Georgia" w:hAnsi="Georgia"/>
          <w:b/>
          <w:color w:val="C88B3A"/>
          <w:sz w:val="24"/>
        </w:rPr>
        <w:t>Fund #1</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Detail</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Entry</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Fund name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Current investment option</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Date option was chosen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Last review date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Next review date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Risk level (as described by the fund)</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Expected time horizon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bl>
    <w:p/>
    <w:p>
      <w:pPr>
        <w:spacing w:before="240" w:after="120"/>
      </w:pPr>
      <w:r>
        <w:rPr>
          <w:rFonts w:ascii="Georgia" w:hAnsi="Georgia"/>
          <w:b/>
          <w:color w:val="C88B3A"/>
          <w:sz w:val="24"/>
        </w:rPr>
        <w:t>Fund #2</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Detail</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Entry</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Fund name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Current investment option</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Date option was chosen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Last review date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Next review date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Risk level (as described by the fund)</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Expected time horizon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bl>
    <w:p/>
    <w:p>
      <w:pPr>
        <w:spacing w:before="240" w:after="120"/>
      </w:pPr>
      <w:r>
        <w:rPr>
          <w:rFonts w:ascii="Georgia" w:hAnsi="Georgia"/>
          <w:b/>
          <w:color w:val="C88B3A"/>
          <w:sz w:val="24"/>
        </w:rPr>
        <w:t>Fund #3</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Detail</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Entry</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Fund name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Current investment option</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Date option was chosen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Last review date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Next review date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Risk level (as described by the fund)</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Expected time horizon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bl>
    <w:p/>
    <w:p>
      <w:pPr>
        <w:spacing w:before="240" w:after="120"/>
      </w:pPr>
      <w:r>
        <w:rPr>
          <w:rFonts w:ascii="Georgia" w:hAnsi="Georgia"/>
          <w:b/>
          <w:color w:val="C88B3A"/>
          <w:sz w:val="24"/>
        </w:rPr>
        <w:t>Investment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09</w:t>
      </w:r>
    </w:p>
    <w:p>
      <w:pPr>
        <w:jc w:val="center"/>
      </w:pPr>
      <w:r>
        <w:rPr>
          <w:rFonts w:ascii="Georgia" w:hAnsi="Georgia"/>
          <w:b/>
          <w:color w:val="1E2A44"/>
          <w:sz w:val="56"/>
        </w:rPr>
        <w:t>Insurance Review</w:t>
      </w:r>
    </w:p>
    <w:p>
      <w:pPr>
        <w:jc w:val="center"/>
      </w:pPr>
      <w:r>
        <w:rPr>
          <w:rFonts w:ascii="Lato" w:hAnsi="Lato"/>
          <w:i/>
          <w:color w:val="555555"/>
          <w:sz w:val="22"/>
        </w:rPr>
        <w:t>Life, TPD and income protection cover held inside your super.</w:t>
      </w:r>
    </w:p>
    <w:p>
      <w:r>
        <w:br w:type="page"/>
      </w:r>
    </w:p>
    <w:p>
      <w:pPr>
        <w:spacing w:before="240" w:after="120"/>
      </w:pPr>
      <w:r>
        <w:rPr>
          <w:rFonts w:ascii="Georgia" w:hAnsi="Georgia"/>
          <w:b/>
          <w:color w:val="1E2A44"/>
          <w:sz w:val="44"/>
        </w:rPr>
        <w:t>Insurance Review</w:t>
      </w:r>
    </w:p>
    <w:p>
      <w:pPr>
        <w:spacing w:after="120"/>
      </w:pPr>
      <w:r>
        <w:rPr>
          <w:rFonts w:ascii="Lato" w:hAnsi="Lato"/>
          <w:i/>
          <w:color w:val="555555"/>
          <w:sz w:val="20"/>
        </w:rPr>
        <w:t>Section 9 · What you're covered for</w:t>
      </w:r>
    </w:p>
    <w:p>
      <w:pPr>
        <w:spacing w:after="120"/>
        <w:jc w:val="both"/>
      </w:pPr>
      <w:r>
        <w:rPr>
          <w:rFonts w:ascii="Lato" w:hAnsi="Lato"/>
          <w:color w:val="222222"/>
          <w:sz w:val="21"/>
        </w:rPr>
        <w:t>Many super funds automatically include insurance. Use this page to record what cover you have, and when you last reviewed it. Insurance inside super is complex — this is a snapshot, not advice.</w:t>
      </w:r>
    </w:p>
    <w:p>
      <w:pPr>
        <w:spacing w:before="240" w:after="120"/>
      </w:pPr>
      <w:r>
        <w:rPr>
          <w:rFonts w:ascii="Georgia" w:hAnsi="Georgia"/>
          <w:b/>
          <w:color w:val="C88B3A"/>
          <w:sz w:val="24"/>
        </w:rPr>
        <w:t>Fund #1 — Insurance Snapshot</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Cover Type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Amount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Premium ($/yr)</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Last Reviewed</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Death (Life)</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Total &amp; Permanent Disability (TPD)</w:t>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Income Protection</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bl>
    <w:p/>
    <w:p>
      <w:pPr>
        <w:spacing w:before="240" w:after="120"/>
      </w:pPr>
      <w:r>
        <w:rPr>
          <w:rFonts w:ascii="Georgia" w:hAnsi="Georgia"/>
          <w:b/>
          <w:color w:val="C88B3A"/>
          <w:sz w:val="24"/>
        </w:rPr>
        <w:t>Fund #2 — Insurance Snapshot</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Cover Type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Amount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Premium ($/yr)</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Last Reviewed</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Death (Life)</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Total &amp; Permanent Disability (TPD)</w:t>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Income Protection</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bl>
    <w:p/>
    <w:tbl>
      <w:tblPr>
        <w:tblW w:type="auto" w:w="0"/>
        <w:tblLayout w:type="autofit"/>
        <w:tblLook w:firstColumn="1" w:firstRow="1" w:lastColumn="0" w:lastRow="0" w:noHBand="0" w:noVBand="1" w:val="04A0"/>
      </w:tblPr>
      <w:tblGrid>
        <w:gridCol w:w="9746"/>
      </w:tblGrid>
      <w:tr>
        <w:tc>
          <w:tcPr>
            <w:tcW w:type="dxa" w:w="9746"/>
            <w:shd w:val="clear" w:color="auto" w:fill="C88B3A"/>
            <w:tcBorders>
              <w:top w:val="single" w:sz="8" w:color="C88B3A"/>
              <w:left w:val="single" w:sz="8" w:color="C88B3A"/>
              <w:bottom w:val="single" w:sz="8" w:color="C88B3A"/>
              <w:right w:val="single" w:sz="8" w:color="C88B3A"/>
            </w:tcBorders>
          </w:tcPr>
          <w:p>
            <w:r>
              <w:rPr>
                <w:rFonts w:ascii="Georgia" w:hAnsi="Georgia"/>
                <w:b/>
                <w:color w:val="FFFFFF"/>
                <w:sz w:val="22"/>
              </w:rPr>
              <w:t>Helpful questions to ask your fund</w:t>
            </w:r>
          </w:p>
          <w:p>
            <w:r>
              <w:rPr>
                <w:rFonts w:ascii="Lato" w:hAnsi="Lato"/>
                <w:color w:val="FFFFFF"/>
                <w:sz w:val="20"/>
              </w:rPr>
              <w:t>Is my cover still appropriate for my age and situation?  Are the premiums reducing my balance more than I realised?  Do I have duplicate cover across multiple funds?  Would my cover stop if my account becomes inactive?</w:t>
            </w:r>
          </w:p>
        </w:tc>
      </w:tr>
    </w:tbl>
    <w:p/>
    <w:p>
      <w:pPr>
        <w:spacing w:before="240" w:after="120"/>
      </w:pPr>
      <w:r>
        <w:rPr>
          <w:rFonts w:ascii="Georgia" w:hAnsi="Georgia"/>
          <w:b/>
          <w:color w:val="C88B3A"/>
          <w:sz w:val="24"/>
        </w:rPr>
        <w:t>Insurance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10</w:t>
      </w:r>
    </w:p>
    <w:p>
      <w:pPr>
        <w:jc w:val="center"/>
      </w:pPr>
      <w:r>
        <w:rPr>
          <w:rFonts w:ascii="Georgia" w:hAnsi="Georgia"/>
          <w:b/>
          <w:color w:val="1E2A44"/>
          <w:sz w:val="56"/>
        </w:rPr>
        <w:t>Fees</w:t>
      </w:r>
    </w:p>
    <w:p>
      <w:pPr>
        <w:jc w:val="center"/>
      </w:pPr>
      <w:r>
        <w:rPr>
          <w:rFonts w:ascii="Lato" w:hAnsi="Lato"/>
          <w:i/>
          <w:color w:val="555555"/>
          <w:sz w:val="22"/>
        </w:rPr>
        <w:t>What your super costs you each year — added up in one place.</w:t>
      </w:r>
    </w:p>
    <w:p>
      <w:r>
        <w:br w:type="page"/>
      </w:r>
    </w:p>
    <w:p>
      <w:pPr>
        <w:spacing w:before="240" w:after="120"/>
      </w:pPr>
      <w:r>
        <w:rPr>
          <w:rFonts w:ascii="Georgia" w:hAnsi="Georgia"/>
          <w:b/>
          <w:color w:val="1E2A44"/>
          <w:sz w:val="44"/>
        </w:rPr>
        <w:t>Fees</w:t>
      </w:r>
    </w:p>
    <w:p>
      <w:pPr>
        <w:spacing w:after="120"/>
      </w:pPr>
      <w:r>
        <w:rPr>
          <w:rFonts w:ascii="Lato" w:hAnsi="Lato"/>
          <w:i/>
          <w:color w:val="555555"/>
          <w:sz w:val="20"/>
        </w:rPr>
        <w:t>Section 10 · Understanding your yearly costs</w:t>
      </w:r>
    </w:p>
    <w:p>
      <w:pPr>
        <w:spacing w:after="120"/>
        <w:jc w:val="both"/>
      </w:pPr>
      <w:r>
        <w:rPr>
          <w:rFonts w:ascii="Lato" w:hAnsi="Lato"/>
          <w:color w:val="222222"/>
          <w:sz w:val="21"/>
        </w:rPr>
        <w:t>Every super fund charges fees. Small differences add up over many years. Use the table below to record the fees shown on your fund's annual statement or PDS.</w:t>
      </w:r>
    </w:p>
    <w:p>
      <w:pPr>
        <w:spacing w:before="240" w:after="120"/>
      </w:pPr>
      <w:r>
        <w:rPr>
          <w:rFonts w:ascii="Georgia" w:hAnsi="Georgia"/>
          <w:b/>
          <w:color w:val="C88B3A"/>
          <w:sz w:val="24"/>
        </w:rPr>
        <w:t>Fund #1</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Fee Type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Annual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 of balance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Notes</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Administration fee</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Investment fee</w:t>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Insurance premium</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Advice fee (if any)</w:t>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Other</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TOTAL annual fees</w:t>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p>
      <w:pPr>
        <w:spacing w:before="240" w:after="120"/>
      </w:pPr>
      <w:r>
        <w:rPr>
          <w:rFonts w:ascii="Georgia" w:hAnsi="Georgia"/>
          <w:b/>
          <w:color w:val="C88B3A"/>
          <w:sz w:val="24"/>
        </w:rPr>
        <w:t>Fund #2</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Fee Type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Annual $</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 of balance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Notes</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Administration fee</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Investment fee</w:t>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Insurance premium</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Advice fee (if any)</w:t>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t>Other</w:t>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TOTAL annual fees</w:t>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tbl>
      <w:tblPr>
        <w:tblW w:type="auto" w:w="0"/>
        <w:tblLayout w:type="autofit"/>
        <w:tblLook w:firstColumn="1" w:firstRow="1" w:lastColumn="0" w:lastRow="0" w:noHBand="0" w:noVBand="1" w:val="04A0"/>
      </w:tblPr>
      <w:tblGrid>
        <w:gridCol w:w="9746"/>
      </w:tblGrid>
      <w:tr>
        <w:tc>
          <w:tcPr>
            <w:tcW w:type="dxa" w:w="9746"/>
            <w:shd w:val="clear" w:color="auto" w:fill="5B8A72"/>
            <w:tcBorders>
              <w:top w:val="single" w:sz="8" w:color="5B8A72"/>
              <w:left w:val="single" w:sz="8" w:color="5B8A72"/>
              <w:bottom w:val="single" w:sz="8" w:color="5B8A72"/>
              <w:right w:val="single" w:sz="8" w:color="5B8A72"/>
            </w:tcBorders>
          </w:tcPr>
          <w:p>
            <w:r>
              <w:rPr>
                <w:rFonts w:ascii="Georgia" w:hAnsi="Georgia"/>
                <w:b/>
                <w:color w:val="FFFFFF"/>
                <w:sz w:val="22"/>
              </w:rPr>
              <w:t>A rough rule of thumb</w:t>
            </w:r>
          </w:p>
          <w:p>
            <w:r>
              <w:rPr>
                <w:rFonts w:ascii="Lato" w:hAnsi="Lato"/>
                <w:color w:val="FFFFFF"/>
                <w:sz w:val="20"/>
              </w:rPr>
              <w:t>Many long-term studies suggest total fees above 1.5% per year can meaningfully reduce your final balance. This is general information only — the right fee level depends on the service you receive.</w:t>
            </w:r>
          </w:p>
        </w:tc>
      </w:tr>
    </w:tbl>
    <w:p/>
    <w:p>
      <w:pPr>
        <w:spacing w:before="240" w:after="120"/>
      </w:pPr>
      <w:r>
        <w:rPr>
          <w:rFonts w:ascii="Georgia" w:hAnsi="Georgia"/>
          <w:b/>
          <w:color w:val="C88B3A"/>
          <w:sz w:val="24"/>
        </w:rPr>
        <w:t>Fee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11</w:t>
      </w:r>
    </w:p>
    <w:p>
      <w:pPr>
        <w:jc w:val="center"/>
      </w:pPr>
      <w:r>
        <w:rPr>
          <w:rFonts w:ascii="Georgia" w:hAnsi="Georgia"/>
          <w:b/>
          <w:color w:val="1E2A44"/>
          <w:sz w:val="56"/>
        </w:rPr>
        <w:t>Beneficiaries</w:t>
      </w:r>
    </w:p>
    <w:p>
      <w:pPr>
        <w:jc w:val="center"/>
      </w:pPr>
      <w:r>
        <w:rPr>
          <w:rFonts w:ascii="Lato" w:hAnsi="Lato"/>
          <w:i/>
          <w:color w:val="555555"/>
          <w:sz w:val="22"/>
        </w:rPr>
        <w:t>Who receives your super if something happens to you.</w:t>
      </w:r>
    </w:p>
    <w:p>
      <w:r>
        <w:br w:type="page"/>
      </w:r>
    </w:p>
    <w:p>
      <w:pPr>
        <w:spacing w:before="240" w:after="120"/>
      </w:pPr>
      <w:r>
        <w:rPr>
          <w:rFonts w:ascii="Georgia" w:hAnsi="Georgia"/>
          <w:b/>
          <w:color w:val="1E2A44"/>
          <w:sz w:val="44"/>
        </w:rPr>
        <w:t>Beneficiaries</w:t>
      </w:r>
    </w:p>
    <w:p>
      <w:pPr>
        <w:spacing w:after="120"/>
      </w:pPr>
      <w:r>
        <w:rPr>
          <w:rFonts w:ascii="Lato" w:hAnsi="Lato"/>
          <w:i/>
          <w:color w:val="555555"/>
          <w:sz w:val="20"/>
        </w:rPr>
        <w:t>Section 11 · Making your wishes clear</w:t>
      </w:r>
    </w:p>
    <w:p>
      <w:pPr>
        <w:spacing w:after="120"/>
        <w:jc w:val="both"/>
      </w:pPr>
      <w:r>
        <w:rPr>
          <w:rFonts w:ascii="Lato" w:hAnsi="Lato"/>
          <w:color w:val="222222"/>
          <w:sz w:val="21"/>
        </w:rPr>
        <w:t>Super does not automatically form part of your estate. A binding nomination tells your fund exactly who to pay your super to; a non-binding nomination is a preference only. Both should be reviewed regularly.</w:t>
      </w:r>
    </w:p>
    <w:tbl>
      <w:tblPr>
        <w:tblStyle w:val="TableGrid"/>
        <w:tblW w:type="auto" w:w="0"/>
        <w:tblLook w:firstColumn="1" w:firstRow="1" w:lastColumn="0" w:lastRow="0" w:noHBand="0" w:noVBand="1" w:val="04A0"/>
      </w:tblPr>
      <w:tblGrid>
        <w:gridCol w:w="1949"/>
        <w:gridCol w:w="1949"/>
        <w:gridCol w:w="1949"/>
        <w:gridCol w:w="1949"/>
        <w:gridCol w:w="1949"/>
      </w:tblGrid>
      <w:tr>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Fund</w:t>
            </w:r>
          </w:p>
        </w:tc>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Nomination Type</w:t>
            </w:r>
          </w:p>
        </w:tc>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Beneficiary Name(s)</w:t>
            </w:r>
          </w:p>
        </w:tc>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Date Signed</w:t>
            </w:r>
          </w:p>
        </w:tc>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Review Date</w:t>
            </w:r>
          </w:p>
        </w:tc>
      </w:tr>
      <w:tr>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t>Binding / Non-binding</w:t>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Binding / Non-binding</w:t>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t>Binding / Non-binding</w:t>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Binding / Non-binding</w:t>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t>Binding / Non-binding</w:t>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Binding / Non-binding</w:t>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tbl>
      <w:tblPr>
        <w:tblW w:type="auto" w:w="0"/>
        <w:tblLayout w:type="autofit"/>
        <w:tblLook w:firstColumn="1" w:firstRow="1" w:lastColumn="0" w:lastRow="0" w:noHBand="0" w:noVBand="1" w:val="04A0"/>
      </w:tblPr>
      <w:tblGrid>
        <w:gridCol w:w="9746"/>
      </w:tblGrid>
      <w:tr>
        <w:tc>
          <w:tcPr>
            <w:tcW w:type="dxa" w:w="9746"/>
            <w:shd w:val="clear" w:color="auto" w:fill="C88B3A"/>
            <w:tcBorders>
              <w:top w:val="single" w:sz="8" w:color="C88B3A"/>
              <w:left w:val="single" w:sz="8" w:color="C88B3A"/>
              <w:bottom w:val="single" w:sz="8" w:color="C88B3A"/>
              <w:right w:val="single" w:sz="8" w:color="C88B3A"/>
            </w:tcBorders>
          </w:tcPr>
          <w:p>
            <w:r>
              <w:rPr>
                <w:rFonts w:ascii="Georgia" w:hAnsi="Georgia"/>
                <w:b/>
                <w:color w:val="FFFFFF"/>
                <w:sz w:val="22"/>
              </w:rPr>
              <w:t>Binding nominations often expire</w:t>
            </w:r>
          </w:p>
          <w:p>
            <w:r>
              <w:rPr>
                <w:rFonts w:ascii="Lato" w:hAnsi="Lato"/>
                <w:color w:val="FFFFFF"/>
                <w:sz w:val="20"/>
              </w:rPr>
              <w:t>Many binding nominations lapse after 3 years unless renewed. Add your review dates to the calendar and confirm with your fund.</w:t>
            </w:r>
          </w:p>
        </w:tc>
      </w:tr>
    </w:tbl>
    <w:p/>
    <w:p>
      <w:pPr>
        <w:spacing w:before="240" w:after="120"/>
      </w:pPr>
      <w:r>
        <w:rPr>
          <w:rFonts w:ascii="Georgia" w:hAnsi="Georgia"/>
          <w:b/>
          <w:color w:val="C88B3A"/>
          <w:sz w:val="24"/>
        </w:rPr>
        <w:t>Beneficiary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12</w:t>
      </w:r>
    </w:p>
    <w:p>
      <w:pPr>
        <w:jc w:val="center"/>
      </w:pPr>
      <w:r>
        <w:rPr>
          <w:rFonts w:ascii="Georgia" w:hAnsi="Georgia"/>
          <w:b/>
          <w:color w:val="1E2A44"/>
          <w:sz w:val="56"/>
        </w:rPr>
        <w:t>Annual Balance Tracker</w:t>
      </w:r>
    </w:p>
    <w:p>
      <w:pPr>
        <w:jc w:val="center"/>
      </w:pPr>
      <w:r>
        <w:rPr>
          <w:rFonts w:ascii="Lato" w:hAnsi="Lato"/>
          <w:i/>
          <w:color w:val="555555"/>
          <w:sz w:val="22"/>
        </w:rPr>
        <w:t>Ten years, one row per year — watch your super grow at a glance.</w:t>
      </w:r>
    </w:p>
    <w:p>
      <w:r>
        <w:br w:type="page"/>
      </w:r>
    </w:p>
    <w:p>
      <w:pPr>
        <w:spacing w:before="240" w:after="120"/>
      </w:pPr>
      <w:r>
        <w:rPr>
          <w:rFonts w:ascii="Georgia" w:hAnsi="Georgia"/>
          <w:b/>
          <w:color w:val="1E2A44"/>
          <w:sz w:val="44"/>
        </w:rPr>
        <w:t>Annual Balance Tracker</w:t>
      </w:r>
    </w:p>
    <w:p>
      <w:pPr>
        <w:spacing w:after="120"/>
      </w:pPr>
      <w:r>
        <w:rPr>
          <w:rFonts w:ascii="Lato" w:hAnsi="Lato"/>
          <w:i/>
          <w:color w:val="555555"/>
          <w:sz w:val="20"/>
        </w:rPr>
        <w:t>Section 12 · A decade in one page</w:t>
      </w:r>
    </w:p>
    <w:p>
      <w:pPr>
        <w:spacing w:after="120"/>
        <w:jc w:val="both"/>
      </w:pPr>
      <w:r>
        <w:rPr>
          <w:rFonts w:ascii="Lato" w:hAnsi="Lato"/>
          <w:color w:val="222222"/>
          <w:sz w:val="21"/>
        </w:rPr>
        <w:t>Once a year, sit down with your statements and fill in a single row. Over time this becomes a beautifully clear record of your progress. Growth can be positive or negative — that's normal.</w:t>
      </w:r>
    </w:p>
    <w:tbl>
      <w:tblPr>
        <w:tblStyle w:val="TableGrid"/>
        <w:tblW w:type="auto" w:w="0"/>
        <w:tblLook w:firstColumn="1" w:firstRow="1" w:lastColumn="0" w:lastRow="0" w:noHBand="0" w:noVBand="1" w:val="04A0"/>
      </w:tblPr>
      <w:tblGrid>
        <w:gridCol w:w="1624"/>
        <w:gridCol w:w="1624"/>
        <w:gridCol w:w="1624"/>
        <w:gridCol w:w="1624"/>
        <w:gridCol w:w="1624"/>
        <w:gridCol w:w="1624"/>
      </w:tblGrid>
      <w:tr>
        <w:tc>
          <w:tcPr>
            <w:tcW w:type="dxa" w:w="1624"/>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Year</w:t>
            </w:r>
          </w:p>
        </w:tc>
        <w:tc>
          <w:tcPr>
            <w:tcW w:type="dxa" w:w="1624"/>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Age</w:t>
            </w:r>
          </w:p>
        </w:tc>
        <w:tc>
          <w:tcPr>
            <w:tcW w:type="dxa" w:w="1624"/>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Opening Balance ($)</w:t>
            </w:r>
          </w:p>
        </w:tc>
        <w:tc>
          <w:tcPr>
            <w:tcW w:type="dxa" w:w="1624"/>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Closing Balance ($)</w:t>
            </w:r>
          </w:p>
        </w:tc>
        <w:tc>
          <w:tcPr>
            <w:tcW w:type="dxa" w:w="1624"/>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Growth ($)</w:t>
            </w:r>
          </w:p>
        </w:tc>
        <w:tc>
          <w:tcPr>
            <w:tcW w:type="dxa" w:w="1624"/>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Notes</w:t>
            </w:r>
          </w:p>
        </w:tc>
      </w:tr>
      <w:tr>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624"/>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tbl>
      <w:tblPr>
        <w:tblW w:type="auto" w:w="0"/>
        <w:tblLayout w:type="autofit"/>
        <w:tblLook w:firstColumn="1" w:firstRow="1" w:lastColumn="0" w:lastRow="0" w:noHBand="0" w:noVBand="1" w:val="04A0"/>
      </w:tblPr>
      <w:tblGrid>
        <w:gridCol w:w="9746"/>
      </w:tblGrid>
      <w:tr>
        <w:tc>
          <w:tcPr>
            <w:tcW w:type="dxa" w:w="9746"/>
            <w:shd w:val="clear" w:color="auto" w:fill="5B8A72"/>
            <w:tcBorders>
              <w:top w:val="single" w:sz="8" w:color="5B8A72"/>
              <w:left w:val="single" w:sz="8" w:color="5B8A72"/>
              <w:bottom w:val="single" w:sz="8" w:color="5B8A72"/>
              <w:right w:val="single" w:sz="8" w:color="5B8A72"/>
            </w:tcBorders>
          </w:tcPr>
          <w:p>
            <w:r>
              <w:rPr>
                <w:rFonts w:ascii="Georgia" w:hAnsi="Georgia"/>
                <w:b/>
                <w:color w:val="FFFFFF"/>
                <w:sz w:val="22"/>
              </w:rPr>
              <w:t>What to include</w:t>
            </w:r>
          </w:p>
          <w:p>
            <w:r>
              <w:rPr>
                <w:rFonts w:ascii="Lato" w:hAnsi="Lato"/>
                <w:color w:val="FFFFFF"/>
                <w:sz w:val="20"/>
              </w:rPr>
              <w:t>Combine balances across all your funds for a whole-picture view. Growth is Closing minus Opening — it includes contributions, investment returns, fees and insurance premiums.</w:t>
            </w:r>
          </w:p>
        </w:tc>
      </w:tr>
    </w:tbl>
    <w:p/>
    <w:p>
      <w:pPr>
        <w:spacing w:before="240" w:after="120"/>
      </w:pPr>
      <w:r>
        <w:rPr>
          <w:rFonts w:ascii="Georgia" w:hAnsi="Georgia"/>
          <w:b/>
          <w:color w:val="C88B3A"/>
          <w:sz w:val="24"/>
        </w:rPr>
        <w:t>Ten-Year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13</w:t>
      </w:r>
    </w:p>
    <w:p>
      <w:pPr>
        <w:jc w:val="center"/>
      </w:pPr>
      <w:r>
        <w:rPr>
          <w:rFonts w:ascii="Georgia" w:hAnsi="Georgia"/>
          <w:b/>
          <w:color w:val="1E2A44"/>
          <w:sz w:val="56"/>
        </w:rPr>
        <w:t>Annual Super Review</w:t>
      </w:r>
    </w:p>
    <w:p>
      <w:pPr>
        <w:jc w:val="center"/>
      </w:pPr>
      <w:r>
        <w:rPr>
          <w:rFonts w:ascii="Lato" w:hAnsi="Lato"/>
          <w:i/>
          <w:color w:val="555555"/>
          <w:sz w:val="22"/>
        </w:rPr>
        <w:t>A once-a-year checklist to keep everything current.</w:t>
      </w:r>
    </w:p>
    <w:p>
      <w:r>
        <w:br w:type="page"/>
      </w:r>
    </w:p>
    <w:p>
      <w:pPr>
        <w:spacing w:before="240" w:after="120"/>
      </w:pPr>
      <w:r>
        <w:rPr>
          <w:rFonts w:ascii="Georgia" w:hAnsi="Georgia"/>
          <w:b/>
          <w:color w:val="1E2A44"/>
          <w:sz w:val="44"/>
        </w:rPr>
        <w:t>Annual Super Review Checklist</w:t>
      </w:r>
    </w:p>
    <w:p>
      <w:pPr>
        <w:spacing w:after="120"/>
      </w:pPr>
      <w:r>
        <w:rPr>
          <w:rFonts w:ascii="Lato" w:hAnsi="Lato"/>
          <w:i/>
          <w:color w:val="555555"/>
          <w:sz w:val="20"/>
        </w:rPr>
        <w:t>Section 13 · A calm yearly ritual</w:t>
      </w:r>
    </w:p>
    <w:p>
      <w:pPr>
        <w:spacing w:after="120"/>
        <w:jc w:val="both"/>
      </w:pPr>
      <w:r>
        <w:rPr>
          <w:rFonts w:ascii="Lato" w:hAnsi="Lato"/>
          <w:color w:val="222222"/>
          <w:sz w:val="21"/>
        </w:rPr>
        <w:t>Set aside an hour once a year — perhaps around your birthday, or after the end of financial year. Work through this checklist. Tick each item as you complete it, and write the review date at the top.</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Review date</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Reviewed with (if anyone)</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bl>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Item</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Located all current super statements</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Updated the Super Fund Register (Section 2)</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Checked employer contributions are up to date</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Confirmed my TFN is on file with every fund</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Reviewed my investment option and its risk level</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Reviewed insurance cover — types, amounts, premiums</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Compared this year's total fees to last year</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Checked my binding nomination has not expired</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Updated the Annual Balance Tracker (Section 12)</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Considered whether consolidation is right for me</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Considered whether to make additional contributions</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Logged in to myGov and reviewed my ATO super view</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Booked an appointment with a licensed adviser (if needed)</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Told my partner / family where this workbook is stored</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Filed the workbook back in its safe place</w:t>
            </w:r>
          </w:p>
        </w:tc>
      </w:tr>
    </w:tbl>
    <w:p/>
    <w:p>
      <w:pPr>
        <w:spacing w:before="240" w:after="120"/>
      </w:pPr>
      <w:r>
        <w:rPr>
          <w:rFonts w:ascii="Georgia" w:hAnsi="Georgia"/>
          <w:b/>
          <w:color w:val="C88B3A"/>
          <w:sz w:val="24"/>
        </w:rPr>
        <w:t>Review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14</w:t>
      </w:r>
    </w:p>
    <w:p>
      <w:pPr>
        <w:jc w:val="center"/>
      </w:pPr>
      <w:r>
        <w:rPr>
          <w:rFonts w:ascii="Georgia" w:hAnsi="Georgia"/>
          <w:b/>
          <w:color w:val="1E2A44"/>
          <w:sz w:val="56"/>
        </w:rPr>
        <w:t>Retirement Readiness Score</w:t>
      </w:r>
    </w:p>
    <w:p>
      <w:pPr>
        <w:jc w:val="center"/>
      </w:pPr>
      <w:r>
        <w:rPr>
          <w:rFonts w:ascii="Lato" w:hAnsi="Lato"/>
          <w:i/>
          <w:color w:val="555555"/>
          <w:sz w:val="22"/>
        </w:rPr>
        <w:t>A simple self-check — where are you today?</w:t>
      </w:r>
    </w:p>
    <w:p>
      <w:r>
        <w:br w:type="page"/>
      </w:r>
    </w:p>
    <w:p>
      <w:pPr>
        <w:spacing w:before="240" w:after="120"/>
      </w:pPr>
      <w:r>
        <w:rPr>
          <w:rFonts w:ascii="Georgia" w:hAnsi="Georgia"/>
          <w:b/>
          <w:color w:val="1E2A44"/>
          <w:sz w:val="44"/>
        </w:rPr>
        <w:t>Retirement Readiness Score</w:t>
      </w:r>
    </w:p>
    <w:p>
      <w:pPr>
        <w:spacing w:after="120"/>
      </w:pPr>
      <w:r>
        <w:rPr>
          <w:rFonts w:ascii="Lato" w:hAnsi="Lato"/>
          <w:i/>
          <w:color w:val="555555"/>
          <w:sz w:val="20"/>
        </w:rPr>
        <w:t>Section 14 · A gentle self-assessment</w:t>
      </w:r>
    </w:p>
    <w:p>
      <w:pPr>
        <w:spacing w:after="120"/>
        <w:jc w:val="both"/>
      </w:pPr>
      <w:r>
        <w:rPr>
          <w:rFonts w:ascii="Lato" w:hAnsi="Lato"/>
          <w:color w:val="222222"/>
          <w:sz w:val="21"/>
        </w:rPr>
        <w:t>Answer each question as honestly as you can and total your score at the bottom. This is not a test — it's a conversation with yourself. There is no pass or fail.</w:t>
      </w:r>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Question</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Score (circle one)</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 know how many super funds I have</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 / 1 / 2 / 3</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 know the current balance of each fund</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0 / 1 / 2 / 3</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 know which investment option I am in</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 / 1 / 2 / 3</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 have reviewed my super in the past 12 months</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0 / 1 / 2 / 3</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 know what insurance I hold inside super</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 / 1 / 2 / 3</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 have a valid nominated beneficiary</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0 / 1 / 2 / 3</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 know roughly what my super fees are each year</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 / 1 / 2 / 3</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 have thought about the age I'd like to retire</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0 / 1 / 2 / 3</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t>I have a rough idea how much I'll need each year</w:t>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t>0 / 1 / 2 / 3</w:t>
            </w:r>
          </w:p>
        </w:tc>
      </w:tr>
      <w:tr>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I have someone I can ask questions of about super</w:t>
            </w:r>
          </w:p>
        </w:tc>
        <w:tc>
          <w:tcPr>
            <w:tcW w:type="dxa" w:w="4873"/>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0 / 1 / 2 / 3</w:t>
            </w:r>
          </w:p>
        </w:tc>
      </w:tr>
    </w:tbl>
    <w:p/>
    <w:tbl>
      <w:tblPr>
        <w:tblStyle w:val="TableGrid"/>
        <w:tblW w:type="auto" w:w="0"/>
        <w:tblLook w:firstColumn="1" w:firstRow="1" w:lastColumn="0" w:lastRow="0" w:noHBand="0" w:noVBand="1" w:val="04A0"/>
      </w:tblPr>
      <w:tblGrid>
        <w:gridCol w:w="4873"/>
        <w:gridCol w:w="4873"/>
      </w:tblGrid>
      <w:tr>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Total (out of 30)</w:t>
            </w:r>
          </w:p>
        </w:tc>
        <w:tc>
          <w:tcPr>
            <w:tcW w:type="dxa" w:w="4873"/>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Reviewed on</w:t>
            </w:r>
          </w:p>
        </w:tc>
      </w:tr>
      <w:tr>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4873"/>
            <w:tcBorders>
              <w:top w:val="single" w:sz="4" w:color="CCCCCC"/>
              <w:left w:val="single" w:sz="4" w:color="CCCCCC"/>
              <w:bottom w:val="single" w:sz="4" w:color="CCCCCC"/>
              <w:right w:val="single" w:sz="4" w:color="CCCCCC"/>
            </w:tcBorders>
          </w:tcPr>
          <w:p>
            <w:r>
              <w:rPr>
                <w:rFonts w:ascii="Lato" w:hAnsi="Lato"/>
                <w:color w:val="222222"/>
                <w:sz w:val="20"/>
              </w:rPr>
            </w:r>
          </w:p>
        </w:tc>
      </w:tr>
    </w:tbl>
    <w:p/>
    <w:tbl>
      <w:tblPr>
        <w:tblW w:type="auto" w:w="0"/>
        <w:tblLook w:firstColumn="1" w:firstRow="1" w:lastColumn="0" w:lastRow="0" w:noHBand="0" w:noVBand="1" w:val="04A0"/>
      </w:tblPr>
      <w:tblGrid>
        <w:gridCol w:w="9746"/>
      </w:tblGrid>
      <w:tr>
        <w:tc>
          <w:tcPr>
            <w:tcW w:type="dxa" w:w="9746"/>
            <w:shd w:val="clear" w:color="auto" w:fill="F5F1EA"/>
            <w:tcBorders>
              <w:top w:val="single" w:sz="6" w:color="E4DCC9"/>
              <w:left w:val="single" w:sz="6" w:color="E4DCC9"/>
              <w:bottom w:val="single" w:sz="6" w:color="E4DCC9"/>
              <w:right w:val="single" w:sz="6" w:color="E4DCC9"/>
            </w:tcBorders>
          </w:tcPr>
          <w:p>
            <w:r>
              <w:rPr>
                <w:rFonts w:ascii="Georgia" w:hAnsi="Georgia"/>
                <w:b/>
                <w:color w:val="1E2A44"/>
                <w:sz w:val="22"/>
              </w:rPr>
              <w:t>How to read your score</w:t>
            </w:r>
          </w:p>
          <w:p>
            <w:r>
              <w:rPr>
                <w:rFonts w:ascii="Lato" w:hAnsi="Lato"/>
                <w:color w:val="222222"/>
                <w:sz w:val="20"/>
              </w:rPr>
              <w:t>0–10 — Getting started. Focus on Sections 1 and 2 first. Just gathering your information is a big win.  11–20 — Making progress. You know the basics. Move on to reviewing fees, insurance, and beneficiaries.  21–30 — Well organised. Keep up the annual review, and consider a chat with a licensed adviser for the finer details.</w:t>
            </w:r>
          </w:p>
        </w:tc>
      </w:tr>
    </w:tbl>
    <w:p/>
    <w:p>
      <w:r>
        <w:br w:type="page"/>
      </w:r>
    </w:p>
    <w:p/>
    <w:p/>
    <w:p/>
    <w:p/>
    <w:p/>
    <w:p/>
    <w:p>
      <w:pPr>
        <w:jc w:val="center"/>
      </w:pPr>
      <w:r>
        <w:rPr>
          <w:rFonts w:ascii="Lato" w:hAnsi="Lato"/>
          <w:b/>
          <w:color w:val="C88B3A"/>
          <w:sz w:val="24"/>
        </w:rPr>
        <w:t>SECTION 15</w:t>
      </w:r>
    </w:p>
    <w:p>
      <w:pPr>
        <w:jc w:val="center"/>
      </w:pPr>
      <w:r>
        <w:rPr>
          <w:rFonts w:ascii="Georgia" w:hAnsi="Georgia"/>
          <w:b/>
          <w:color w:val="1E2A44"/>
          <w:sz w:val="56"/>
        </w:rPr>
        <w:t>Action Plan</w:t>
      </w:r>
    </w:p>
    <w:p>
      <w:pPr>
        <w:jc w:val="center"/>
      </w:pPr>
      <w:r>
        <w:rPr>
          <w:rFonts w:ascii="Lato" w:hAnsi="Lato"/>
          <w:i/>
          <w:color w:val="555555"/>
          <w:sz w:val="22"/>
        </w:rPr>
        <w:t>Turn your notes into three or four clear steps for the next 12 months.</w:t>
      </w:r>
    </w:p>
    <w:p>
      <w:r>
        <w:br w:type="page"/>
      </w:r>
    </w:p>
    <w:p>
      <w:pPr>
        <w:spacing w:before="240" w:after="120"/>
      </w:pPr>
      <w:r>
        <w:rPr>
          <w:rFonts w:ascii="Georgia" w:hAnsi="Georgia"/>
          <w:b/>
          <w:color w:val="1E2A44"/>
          <w:sz w:val="44"/>
        </w:rPr>
        <w:t>Action Plan for the Next 12 Months</w:t>
      </w:r>
    </w:p>
    <w:p>
      <w:pPr>
        <w:spacing w:after="120"/>
      </w:pPr>
      <w:r>
        <w:rPr>
          <w:rFonts w:ascii="Lato" w:hAnsi="Lato"/>
          <w:i/>
          <w:color w:val="555555"/>
          <w:sz w:val="20"/>
        </w:rPr>
        <w:t>Section 15 · A short list beats a long list</w:t>
      </w:r>
    </w:p>
    <w:p>
      <w:pPr>
        <w:spacing w:after="120"/>
        <w:jc w:val="both"/>
      </w:pPr>
      <w:r>
        <w:rPr>
          <w:rFonts w:ascii="Lato" w:hAnsi="Lato"/>
          <w:color w:val="222222"/>
          <w:sz w:val="21"/>
        </w:rPr>
        <w:t>Pick no more than five priority actions. Write who is responsible (usually you), when it's due, and a simple done box. Small consistent steps beat grand plans that never happen.</w:t>
      </w:r>
    </w:p>
    <w:tbl>
      <w:tblPr>
        <w:tblStyle w:val="TableGrid"/>
        <w:tblW w:type="auto" w:w="0"/>
        <w:tblLook w:firstColumn="1" w:firstRow="1" w:lastColumn="0" w:lastRow="0" w:noHBand="0" w:noVBand="1" w:val="04A0"/>
      </w:tblPr>
      <w:tblGrid>
        <w:gridCol w:w="1949"/>
        <w:gridCol w:w="1949"/>
        <w:gridCol w:w="1949"/>
        <w:gridCol w:w="1949"/>
        <w:gridCol w:w="1949"/>
      </w:tblGrid>
      <w:tr>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w:t>
            </w:r>
          </w:p>
        </w:tc>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Priority Action</w:t>
            </w:r>
          </w:p>
        </w:tc>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Owner</w:t>
            </w:r>
          </w:p>
        </w:tc>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By When</w:t>
            </w:r>
          </w:p>
        </w:tc>
        <w:tc>
          <w:tcPr>
            <w:tcW w:type="dxa" w:w="19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Done</w:t>
            </w:r>
          </w:p>
        </w:tc>
      </w:tr>
      <w:tr>
        <w:tc>
          <w:tcPr>
            <w:tcW w:type="dxa" w:w="1949"/>
            <w:tcBorders>
              <w:top w:val="single" w:sz="4" w:color="CCCCCC"/>
              <w:left w:val="single" w:sz="4" w:color="CCCCCC"/>
              <w:bottom w:val="single" w:sz="4" w:color="CCCCCC"/>
              <w:right w:val="single" w:sz="4" w:color="CCCCCC"/>
            </w:tcBorders>
          </w:tcPr>
          <w:p>
            <w:r>
              <w:rPr>
                <w:rFonts w:ascii="Lato" w:hAnsi="Lato"/>
                <w:color w:val="222222"/>
                <w:sz w:val="20"/>
              </w:rPr>
              <w:t>1</w:t>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t>☐</w:t>
            </w:r>
          </w:p>
        </w:tc>
      </w:tr>
      <w:tr>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2</w:t>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r>
      <w:tr>
        <w:tc>
          <w:tcPr>
            <w:tcW w:type="dxa" w:w="1949"/>
            <w:tcBorders>
              <w:top w:val="single" w:sz="4" w:color="CCCCCC"/>
              <w:left w:val="single" w:sz="4" w:color="CCCCCC"/>
              <w:bottom w:val="single" w:sz="4" w:color="CCCCCC"/>
              <w:right w:val="single" w:sz="4" w:color="CCCCCC"/>
            </w:tcBorders>
          </w:tcPr>
          <w:p>
            <w:r>
              <w:rPr>
                <w:rFonts w:ascii="Lato" w:hAnsi="Lato"/>
                <w:color w:val="222222"/>
                <w:sz w:val="20"/>
              </w:rPr>
              <w:t>3</w:t>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t>☐</w:t>
            </w:r>
          </w:p>
        </w:tc>
      </w:tr>
      <w:tr>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4</w:t>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r>
      <w:tr>
        <w:tc>
          <w:tcPr>
            <w:tcW w:type="dxa" w:w="1949"/>
            <w:tcBorders>
              <w:top w:val="single" w:sz="4" w:color="CCCCCC"/>
              <w:left w:val="single" w:sz="4" w:color="CCCCCC"/>
              <w:bottom w:val="single" w:sz="4" w:color="CCCCCC"/>
              <w:right w:val="single" w:sz="4" w:color="CCCCCC"/>
            </w:tcBorders>
          </w:tcPr>
          <w:p>
            <w:r>
              <w:rPr>
                <w:rFonts w:ascii="Lato" w:hAnsi="Lato"/>
                <w:color w:val="222222"/>
                <w:sz w:val="20"/>
              </w:rPr>
              <w:t>5</w:t>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t>☐</w:t>
            </w:r>
          </w:p>
        </w:tc>
      </w:tr>
      <w:tr>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6</w:t>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w:t>
            </w:r>
          </w:p>
        </w:tc>
      </w:tr>
      <w:tr>
        <w:tc>
          <w:tcPr>
            <w:tcW w:type="dxa" w:w="1949"/>
            <w:tcBorders>
              <w:top w:val="single" w:sz="4" w:color="CCCCCC"/>
              <w:left w:val="single" w:sz="4" w:color="CCCCCC"/>
              <w:bottom w:val="single" w:sz="4" w:color="CCCCCC"/>
              <w:right w:val="single" w:sz="4" w:color="CCCCCC"/>
            </w:tcBorders>
          </w:tcPr>
          <w:p>
            <w:r>
              <w:rPr>
                <w:rFonts w:ascii="Lato" w:hAnsi="Lato"/>
                <w:color w:val="222222"/>
                <w:sz w:val="20"/>
              </w:rPr>
              <w:t>7</w:t>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1949"/>
            <w:tcBorders>
              <w:top w:val="single" w:sz="4" w:color="CCCCCC"/>
              <w:left w:val="single" w:sz="4" w:color="CCCCCC"/>
              <w:bottom w:val="single" w:sz="4" w:color="CCCCCC"/>
              <w:right w:val="single" w:sz="4" w:color="CCCCCC"/>
            </w:tcBorders>
          </w:tcPr>
          <w:p>
            <w:r>
              <w:rPr>
                <w:rFonts w:ascii="Lato" w:hAnsi="Lato"/>
                <w:color w:val="222222"/>
                <w:sz w:val="20"/>
              </w:rPr>
              <w:t>☐</w:t>
            </w:r>
          </w:p>
        </w:tc>
      </w:tr>
    </w:tbl>
    <w:p/>
    <w:tbl>
      <w:tblPr>
        <w:tblW w:type="auto" w:w="0"/>
        <w:tblLayout w:type="autofit"/>
        <w:tblLook w:firstColumn="1" w:firstRow="1" w:lastColumn="0" w:lastRow="0" w:noHBand="0" w:noVBand="1" w:val="04A0"/>
      </w:tblPr>
      <w:tblGrid>
        <w:gridCol w:w="9746"/>
      </w:tblGrid>
      <w:tr>
        <w:tc>
          <w:tcPr>
            <w:tcW w:type="dxa" w:w="9746"/>
            <w:shd w:val="clear" w:color="auto" w:fill="C88B3A"/>
            <w:tcBorders>
              <w:top w:val="single" w:sz="8" w:color="C88B3A"/>
              <w:left w:val="single" w:sz="8" w:color="C88B3A"/>
              <w:bottom w:val="single" w:sz="8" w:color="C88B3A"/>
              <w:right w:val="single" w:sz="8" w:color="C88B3A"/>
            </w:tcBorders>
          </w:tcPr>
          <w:p>
            <w:r>
              <w:rPr>
                <w:rFonts w:ascii="Georgia" w:hAnsi="Georgia"/>
                <w:b/>
                <w:color w:val="FFFFFF"/>
                <w:sz w:val="22"/>
              </w:rPr>
              <w:t>Habit anchor</w:t>
            </w:r>
          </w:p>
          <w:p>
            <w:r>
              <w:rPr>
                <w:rFonts w:ascii="Lato" w:hAnsi="Lato"/>
                <w:color w:val="FFFFFF"/>
                <w:sz w:val="20"/>
              </w:rPr>
              <w:t>Choose a day each quarter — the first Sunday of the quarter works well — to spend 15 minutes checking your progress on this action plan. Add it to your calendar now.</w:t>
            </w:r>
          </w:p>
        </w:tc>
      </w:tr>
    </w:tbl>
    <w:p/>
    <w:p>
      <w:pPr>
        <w:spacing w:before="240" w:after="120"/>
      </w:pPr>
      <w:r>
        <w:rPr>
          <w:rFonts w:ascii="Georgia" w:hAnsi="Georgia"/>
          <w:b/>
          <w:color w:val="C88B3A"/>
          <w:sz w:val="24"/>
        </w:rPr>
        <w:t>Action Plan 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16</w:t>
      </w:r>
    </w:p>
    <w:p>
      <w:pPr>
        <w:jc w:val="center"/>
      </w:pPr>
      <w:r>
        <w:rPr>
          <w:rFonts w:ascii="Georgia" w:hAnsi="Georgia"/>
          <w:b/>
          <w:color w:val="1E2A44"/>
          <w:sz w:val="56"/>
        </w:rPr>
        <w:t>Notes</w:t>
      </w:r>
    </w:p>
    <w:p>
      <w:pPr>
        <w:jc w:val="center"/>
      </w:pPr>
      <w:r>
        <w:rPr>
          <w:rFonts w:ascii="Lato" w:hAnsi="Lato"/>
          <w:i/>
          <w:color w:val="555555"/>
          <w:sz w:val="22"/>
        </w:rPr>
        <w:t>Room to think — several lined pages for anything else on your mind.</w:t>
      </w:r>
    </w:p>
    <w:p>
      <w:r>
        <w:br w:type="page"/>
      </w:r>
    </w:p>
    <w:p>
      <w:pPr>
        <w:spacing w:before="240" w:after="120"/>
      </w:pPr>
      <w:r>
        <w:rPr>
          <w:rFonts w:ascii="Georgia" w:hAnsi="Georgia"/>
          <w:b/>
          <w:color w:val="1E2A44"/>
          <w:sz w:val="44"/>
        </w:rPr>
        <w:t>Notes</w:t>
      </w:r>
    </w:p>
    <w:p>
      <w:pPr>
        <w:spacing w:after="120"/>
      </w:pPr>
      <w:r>
        <w:rPr>
          <w:rFonts w:ascii="Lato" w:hAnsi="Lato"/>
          <w:i/>
          <w:color w:val="555555"/>
          <w:sz w:val="20"/>
        </w:rPr>
        <w:t>Section 16 · Open space</w:t>
      </w:r>
    </w:p>
    <w:p>
      <w:pPr>
        <w:spacing w:after="120"/>
        <w:jc w:val="both"/>
      </w:pPr>
      <w:r>
        <w:rPr>
          <w:rFonts w:ascii="Lato" w:hAnsi="Lato"/>
          <w:color w:val="222222"/>
          <w:sz w:val="21"/>
        </w:rPr>
        <w:t>Use these pages for anything that doesn't fit elsewhere — questions for your adviser, thoughts about retirement, reminders, or small wins worth remembering.</w:t>
      </w:r>
    </w:p>
    <w:p>
      <w:pPr>
        <w:spacing w:before="240" w:after="120"/>
      </w:pPr>
      <w:r>
        <w:rPr>
          <w:rFonts w:ascii="Georgia" w:hAnsi="Georgia"/>
          <w:b/>
          <w:color w:val="C88B3A"/>
          <w:sz w:val="24"/>
        </w:rPr>
        <w:t>Notes</w:t>
      </w:r>
    </w:p>
    <w:tbl>
      <w:tblPr>
        <w:tblW w:type="auto" w:w="0"/>
        <w:tblLook w:firstColumn="1" w:firstRow="1" w:lastColumn="0" w:lastRow="0" w:noHBand="0" w:noVBand="1" w:val="04A0"/>
      </w:tblPr>
      <w:tblGrid>
        <w:gridCol w:w="9746"/>
      </w:tblGrid>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r>
        <w:trPr>
          <w:trHeight w:val="510"/>
        </w:trPr>
        <w:tc>
          <w:tcPr>
            <w:tcW w:type="dxa" w:w="9746"/>
            <w:tcBorders>
              <w:top w:val="nil"/>
              <w:left w:val="nil"/>
              <w:right w:val="nil"/>
              <w:bottom w:val="single" w:sz="4" w:color="BBBBBB"/>
            </w:tcBorders>
          </w:tcPr>
          <w:p/>
        </w:tc>
      </w:tr>
    </w:tbl>
    <w:p/>
    <w:p>
      <w:r>
        <w:br w:type="page"/>
      </w:r>
    </w:p>
    <w:p/>
    <w:p/>
    <w:p/>
    <w:p/>
    <w:p/>
    <w:p/>
    <w:p>
      <w:pPr>
        <w:jc w:val="center"/>
      </w:pPr>
      <w:r>
        <w:rPr>
          <w:rFonts w:ascii="Lato" w:hAnsi="Lato"/>
          <w:b/>
          <w:color w:val="C88B3A"/>
          <w:sz w:val="24"/>
        </w:rPr>
        <w:t>SECTION 17</w:t>
      </w:r>
    </w:p>
    <w:p>
      <w:pPr>
        <w:jc w:val="center"/>
      </w:pPr>
      <w:r>
        <w:rPr>
          <w:rFonts w:ascii="Georgia" w:hAnsi="Georgia"/>
          <w:b/>
          <w:color w:val="1E2A44"/>
          <w:sz w:val="56"/>
        </w:rPr>
        <w:t>Useful Australian Resources</w:t>
      </w:r>
    </w:p>
    <w:p>
      <w:pPr>
        <w:jc w:val="center"/>
      </w:pPr>
      <w:r>
        <w:rPr>
          <w:rFonts w:ascii="Lato" w:hAnsi="Lato"/>
          <w:i/>
          <w:color w:val="555555"/>
          <w:sz w:val="22"/>
        </w:rPr>
        <w:t>Where to go for trustworthy, independent information.</w:t>
      </w:r>
    </w:p>
    <w:p>
      <w:r>
        <w:br w:type="page"/>
      </w:r>
    </w:p>
    <w:p>
      <w:pPr>
        <w:spacing w:before="240" w:after="120"/>
      </w:pPr>
      <w:r>
        <w:rPr>
          <w:rFonts w:ascii="Georgia" w:hAnsi="Georgia"/>
          <w:b/>
          <w:color w:val="1E2A44"/>
          <w:sz w:val="44"/>
        </w:rPr>
        <w:t>Useful Australian Resources</w:t>
      </w:r>
    </w:p>
    <w:p>
      <w:pPr>
        <w:spacing w:after="120"/>
      </w:pPr>
      <w:r>
        <w:rPr>
          <w:rFonts w:ascii="Lato" w:hAnsi="Lato"/>
          <w:i/>
          <w:color w:val="555555"/>
          <w:sz w:val="20"/>
        </w:rPr>
        <w:t>Section 17 · Trusted starting points</w:t>
      </w:r>
    </w:p>
    <w:p>
      <w:pPr>
        <w:spacing w:after="120"/>
        <w:jc w:val="both"/>
      </w:pPr>
      <w:r>
        <w:rPr>
          <w:rFonts w:ascii="Lato" w:hAnsi="Lato"/>
          <w:color w:val="222222"/>
          <w:sz w:val="21"/>
        </w:rPr>
        <w:t>These are Australian government and consumer resources. They are free to use and independent of any super fund. This workbook does not endorse any commercial product.</w:t>
      </w:r>
    </w:p>
    <w:tbl>
      <w:tblPr>
        <w:tblStyle w:val="TableGrid"/>
        <w:tblW w:type="auto" w:w="0"/>
        <w:tblLook w:firstColumn="1" w:firstRow="1" w:lastColumn="0" w:lastRow="0" w:noHBand="0" w:noVBand="1" w:val="04A0"/>
      </w:tblPr>
      <w:tblGrid>
        <w:gridCol w:w="3249"/>
        <w:gridCol w:w="3249"/>
        <w:gridCol w:w="3249"/>
      </w:tblGrid>
      <w:tr>
        <w:tc>
          <w:tcPr>
            <w:tcW w:type="dxa" w:w="32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Resource</w:t>
            </w:r>
          </w:p>
        </w:tc>
        <w:tc>
          <w:tcPr>
            <w:tcW w:type="dxa" w:w="32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Where to find it</w:t>
            </w:r>
          </w:p>
        </w:tc>
        <w:tc>
          <w:tcPr>
            <w:tcW w:type="dxa" w:w="3249"/>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What it's good for</w:t>
            </w:r>
          </w:p>
        </w:tc>
      </w:tr>
      <w:tr>
        <w:tc>
          <w:tcPr>
            <w:tcW w:type="dxa" w:w="3249"/>
            <w:tcBorders>
              <w:top w:val="single" w:sz="4" w:color="CCCCCC"/>
              <w:left w:val="single" w:sz="4" w:color="CCCCCC"/>
              <w:bottom w:val="single" w:sz="4" w:color="CCCCCC"/>
              <w:right w:val="single" w:sz="4" w:color="CCCCCC"/>
            </w:tcBorders>
          </w:tcPr>
          <w:p>
            <w:r>
              <w:rPr>
                <w:rFonts w:ascii="Lato" w:hAnsi="Lato"/>
                <w:color w:val="222222"/>
                <w:sz w:val="20"/>
              </w:rPr>
              <w:t>Australian Taxation Office (ATO)</w:t>
            </w:r>
          </w:p>
        </w:tc>
        <w:tc>
          <w:tcPr>
            <w:tcW w:type="dxa" w:w="3249"/>
            <w:tcBorders>
              <w:top w:val="single" w:sz="4" w:color="CCCCCC"/>
              <w:left w:val="single" w:sz="4" w:color="CCCCCC"/>
              <w:bottom w:val="single" w:sz="4" w:color="CCCCCC"/>
              <w:right w:val="single" w:sz="4" w:color="CCCCCC"/>
            </w:tcBorders>
          </w:tcPr>
          <w:p>
            <w:r>
              <w:rPr>
                <w:rFonts w:ascii="Lato" w:hAnsi="Lato"/>
                <w:color w:val="222222"/>
                <w:sz w:val="20"/>
              </w:rPr>
              <w:t>ato.gov.au — search 'super'</w:t>
            </w:r>
          </w:p>
        </w:tc>
        <w:tc>
          <w:tcPr>
            <w:tcW w:type="dxa" w:w="3249"/>
            <w:tcBorders>
              <w:top w:val="single" w:sz="4" w:color="CCCCCC"/>
              <w:left w:val="single" w:sz="4" w:color="CCCCCC"/>
              <w:bottom w:val="single" w:sz="4" w:color="CCCCCC"/>
              <w:right w:val="single" w:sz="4" w:color="CCCCCC"/>
            </w:tcBorders>
          </w:tcPr>
          <w:p>
            <w:r>
              <w:rPr>
                <w:rFonts w:ascii="Lato" w:hAnsi="Lato"/>
                <w:color w:val="222222"/>
                <w:sz w:val="20"/>
              </w:rPr>
              <w:t>Your super record, lost super, contribution caps, tax.</w:t>
            </w:r>
          </w:p>
        </w:tc>
      </w:tr>
      <w:tr>
        <w:tc>
          <w:tcPr>
            <w:tcW w:type="dxa" w:w="32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Moneysmart (ASIC)</w:t>
            </w:r>
          </w:p>
        </w:tc>
        <w:tc>
          <w:tcPr>
            <w:tcW w:type="dxa" w:w="32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moneysmart.gov.au</w:t>
            </w:r>
          </w:p>
        </w:tc>
        <w:tc>
          <w:tcPr>
            <w:tcW w:type="dxa" w:w="32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Plain-English guides, retirement calculators, fee comparison tools.</w:t>
            </w:r>
          </w:p>
        </w:tc>
      </w:tr>
      <w:tr>
        <w:tc>
          <w:tcPr>
            <w:tcW w:type="dxa" w:w="3249"/>
            <w:tcBorders>
              <w:top w:val="single" w:sz="4" w:color="CCCCCC"/>
              <w:left w:val="single" w:sz="4" w:color="CCCCCC"/>
              <w:bottom w:val="single" w:sz="4" w:color="CCCCCC"/>
              <w:right w:val="single" w:sz="4" w:color="CCCCCC"/>
            </w:tcBorders>
          </w:tcPr>
          <w:p>
            <w:r>
              <w:rPr>
                <w:rFonts w:ascii="Lato" w:hAnsi="Lato"/>
                <w:color w:val="222222"/>
                <w:sz w:val="20"/>
              </w:rPr>
              <w:t>myGov</w:t>
            </w:r>
          </w:p>
        </w:tc>
        <w:tc>
          <w:tcPr>
            <w:tcW w:type="dxa" w:w="3249"/>
            <w:tcBorders>
              <w:top w:val="single" w:sz="4" w:color="CCCCCC"/>
              <w:left w:val="single" w:sz="4" w:color="CCCCCC"/>
              <w:bottom w:val="single" w:sz="4" w:color="CCCCCC"/>
              <w:right w:val="single" w:sz="4" w:color="CCCCCC"/>
            </w:tcBorders>
          </w:tcPr>
          <w:p>
            <w:r>
              <w:rPr>
                <w:rFonts w:ascii="Lato" w:hAnsi="Lato"/>
                <w:color w:val="222222"/>
                <w:sz w:val="20"/>
              </w:rPr>
              <w:t>my.gov.au</w:t>
            </w:r>
          </w:p>
        </w:tc>
        <w:tc>
          <w:tcPr>
            <w:tcW w:type="dxa" w:w="3249"/>
            <w:tcBorders>
              <w:top w:val="single" w:sz="4" w:color="CCCCCC"/>
              <w:left w:val="single" w:sz="4" w:color="CCCCCC"/>
              <w:bottom w:val="single" w:sz="4" w:color="CCCCCC"/>
              <w:right w:val="single" w:sz="4" w:color="CCCCCC"/>
            </w:tcBorders>
          </w:tcPr>
          <w:p>
            <w:r>
              <w:rPr>
                <w:rFonts w:ascii="Lato" w:hAnsi="Lato"/>
                <w:color w:val="222222"/>
                <w:sz w:val="20"/>
              </w:rPr>
              <w:t>Link to the ATO to see all your super in one online view.</w:t>
            </w:r>
          </w:p>
        </w:tc>
      </w:tr>
      <w:tr>
        <w:tc>
          <w:tcPr>
            <w:tcW w:type="dxa" w:w="32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Services Australia</w:t>
            </w:r>
          </w:p>
        </w:tc>
        <w:tc>
          <w:tcPr>
            <w:tcW w:type="dxa" w:w="32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servicesaustralia.gov.au</w:t>
            </w:r>
          </w:p>
        </w:tc>
        <w:tc>
          <w:tcPr>
            <w:tcW w:type="dxa" w:w="3249"/>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t>Age Pension, income tests, retirement services.</w:t>
            </w:r>
          </w:p>
        </w:tc>
      </w:tr>
      <w:tr>
        <w:tc>
          <w:tcPr>
            <w:tcW w:type="dxa" w:w="3249"/>
            <w:tcBorders>
              <w:top w:val="single" w:sz="4" w:color="CCCCCC"/>
              <w:left w:val="single" w:sz="4" w:color="CCCCCC"/>
              <w:bottom w:val="single" w:sz="4" w:color="CCCCCC"/>
              <w:right w:val="single" w:sz="4" w:color="CCCCCC"/>
            </w:tcBorders>
          </w:tcPr>
          <w:p>
            <w:r>
              <w:rPr>
                <w:rFonts w:ascii="Lato" w:hAnsi="Lato"/>
                <w:color w:val="222222"/>
                <w:sz w:val="20"/>
              </w:rPr>
              <w:t>AFCA</w:t>
            </w:r>
          </w:p>
        </w:tc>
        <w:tc>
          <w:tcPr>
            <w:tcW w:type="dxa" w:w="3249"/>
            <w:tcBorders>
              <w:top w:val="single" w:sz="4" w:color="CCCCCC"/>
              <w:left w:val="single" w:sz="4" w:color="CCCCCC"/>
              <w:bottom w:val="single" w:sz="4" w:color="CCCCCC"/>
              <w:right w:val="single" w:sz="4" w:color="CCCCCC"/>
            </w:tcBorders>
          </w:tcPr>
          <w:p>
            <w:r>
              <w:rPr>
                <w:rFonts w:ascii="Lato" w:hAnsi="Lato"/>
                <w:color w:val="222222"/>
                <w:sz w:val="20"/>
              </w:rPr>
              <w:t>afca.org.au</w:t>
            </w:r>
          </w:p>
        </w:tc>
        <w:tc>
          <w:tcPr>
            <w:tcW w:type="dxa" w:w="3249"/>
            <w:tcBorders>
              <w:top w:val="single" w:sz="4" w:color="CCCCCC"/>
              <w:left w:val="single" w:sz="4" w:color="CCCCCC"/>
              <w:bottom w:val="single" w:sz="4" w:color="CCCCCC"/>
              <w:right w:val="single" w:sz="4" w:color="CCCCCC"/>
            </w:tcBorders>
          </w:tcPr>
          <w:p>
            <w:r>
              <w:rPr>
                <w:rFonts w:ascii="Lato" w:hAnsi="Lato"/>
                <w:color w:val="222222"/>
                <w:sz w:val="20"/>
              </w:rPr>
              <w:t>Free, independent dispute resolution for financial complaints.</w:t>
            </w:r>
          </w:p>
        </w:tc>
      </w:tr>
    </w:tbl>
    <w:p/>
    <w:p>
      <w:pPr>
        <w:spacing w:before="240" w:after="120"/>
      </w:pPr>
      <w:r>
        <w:rPr>
          <w:rFonts w:ascii="Georgia" w:hAnsi="Georgia"/>
          <w:b/>
          <w:color w:val="C88B3A"/>
          <w:sz w:val="24"/>
        </w:rPr>
        <w:t>Your super fund contact list</w:t>
      </w:r>
    </w:p>
    <w:tbl>
      <w:tblPr>
        <w:tblStyle w:val="TableGrid"/>
        <w:tblW w:type="auto" w:w="0"/>
        <w:tblLook w:firstColumn="1" w:firstRow="1" w:lastColumn="0" w:lastRow="0" w:noHBand="0" w:noVBand="1" w:val="04A0"/>
      </w:tblPr>
      <w:tblGrid>
        <w:gridCol w:w="2436"/>
        <w:gridCol w:w="2436"/>
        <w:gridCol w:w="2436"/>
        <w:gridCol w:w="2436"/>
      </w:tblGrid>
      <w:tr>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Fund Name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Phone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Website</w:t>
            </w:r>
          </w:p>
        </w:tc>
        <w:tc>
          <w:tcPr>
            <w:tcW w:type="dxa" w:w="2436"/>
            <w:shd w:val="clear" w:color="auto" w:fill="1E2A44"/>
            <w:tcBorders>
              <w:top w:val="single" w:sz="6" w:color="1E2A44"/>
              <w:left w:val="single" w:sz="6" w:color="1E2A44"/>
              <w:bottom w:val="single" w:sz="6" w:color="1E2A44"/>
              <w:right w:val="single" w:sz="6" w:color="1E2A44"/>
            </w:tcBorders>
          </w:tcPr>
          <w:p>
            <w:r>
              <w:rPr>
                <w:rFonts w:ascii="Lato" w:hAnsi="Lato"/>
                <w:b/>
                <w:color w:val="FFFFFF"/>
                <w:sz w:val="20"/>
              </w:rPr>
              <w:t>Login / Member #</w:t>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tcPr>
          <w:p>
            <w:r>
              <w:rPr>
                <w:rFonts w:ascii="Lato" w:hAnsi="Lato"/>
                <w:color w:val="222222"/>
                <w:sz w:val="20"/>
              </w:rPr>
            </w:r>
          </w:p>
        </w:tc>
      </w:tr>
      <w:tr>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c>
          <w:tcPr>
            <w:tcW w:type="dxa" w:w="2436"/>
            <w:tcBorders>
              <w:top w:val="single" w:sz="4" w:color="CCCCCC"/>
              <w:left w:val="single" w:sz="4" w:color="CCCCCC"/>
              <w:bottom w:val="single" w:sz="4" w:color="CCCCCC"/>
              <w:right w:val="single" w:sz="4" w:color="CCCCCC"/>
            </w:tcBorders>
            <w:shd w:val="clear" w:color="auto" w:fill="FAF7F1"/>
          </w:tcPr>
          <w:p>
            <w:r>
              <w:rPr>
                <w:rFonts w:ascii="Lato" w:hAnsi="Lato"/>
                <w:color w:val="222222"/>
                <w:sz w:val="20"/>
              </w:rPr>
            </w:r>
          </w:p>
        </w:tc>
      </w:tr>
    </w:tbl>
    <w:p/>
    <w:p>
      <w:r>
        <w:br w:type="page"/>
      </w:r>
    </w:p>
    <w:p/>
    <w:p/>
    <w:p/>
    <w:p/>
    <w:p/>
    <w:p/>
    <w:p>
      <w:pPr>
        <w:jc w:val="center"/>
      </w:pPr>
      <w:r>
        <w:rPr>
          <w:rFonts w:ascii="Lato" w:hAnsi="Lato"/>
          <w:b/>
          <w:color w:val="C88B3A"/>
          <w:sz w:val="24"/>
        </w:rPr>
        <w:t>SECTION 18</w:t>
      </w:r>
    </w:p>
    <w:p>
      <w:pPr>
        <w:jc w:val="center"/>
      </w:pPr>
      <w:r>
        <w:rPr>
          <w:rFonts w:ascii="Georgia" w:hAnsi="Georgia"/>
          <w:b/>
          <w:color w:val="1E2A44"/>
          <w:sz w:val="56"/>
        </w:rPr>
        <w:t>About Barry</w:t>
      </w:r>
    </w:p>
    <w:p>
      <w:pPr>
        <w:jc w:val="center"/>
      </w:pPr>
      <w:r>
        <w:rPr>
          <w:rFonts w:ascii="Lato" w:hAnsi="Lato"/>
          <w:i/>
          <w:color w:val="555555"/>
          <w:sz w:val="22"/>
        </w:rPr>
        <w:t>Meet the author.</w:t>
      </w:r>
    </w:p>
    <w:p>
      <w:r>
        <w:br w:type="page"/>
      </w:r>
    </w:p>
    <w:p>
      <w:pPr>
        <w:spacing w:before="240" w:after="120"/>
      </w:pPr>
      <w:r>
        <w:rPr>
          <w:rFonts w:ascii="Georgia" w:hAnsi="Georgia"/>
          <w:b/>
          <w:color w:val="1E2A44"/>
          <w:sz w:val="44"/>
        </w:rPr>
        <w:t>About Barry</w:t>
      </w:r>
    </w:p>
    <w:p>
      <w:pPr>
        <w:spacing w:after="120"/>
      </w:pPr>
      <w:r>
        <w:rPr>
          <w:rFonts w:ascii="Lato" w:hAnsi="Lato"/>
          <w:i/>
          <w:color w:val="555555"/>
          <w:sz w:val="20"/>
        </w:rPr>
        <w:t>The person behind the workbook</w:t>
      </w:r>
    </w:p>
    <w:p>
      <w:pPr>
        <w:spacing w:after="120"/>
        <w:jc w:val="both"/>
      </w:pPr>
      <w:r>
        <w:rPr>
          <w:rFonts w:ascii="Lato" w:hAnsi="Lato"/>
          <w:color w:val="222222"/>
          <w:sz w:val="21"/>
        </w:rPr>
        <w:t>Barry is a Gen X Australian who spent years feeling quietly overwhelmed by his own superannuation — and eventually decided to do something about it.</w:t>
      </w:r>
    </w:p>
    <w:p>
      <w:pPr>
        <w:spacing w:after="120"/>
        <w:jc w:val="both"/>
      </w:pPr>
      <w:r>
        <w:rPr>
          <w:rFonts w:ascii="Lato" w:hAnsi="Lato"/>
          <w:color w:val="222222"/>
          <w:sz w:val="21"/>
        </w:rPr>
        <w:t>After sorting out his own retirement paperwork, he started sharing his simple tracking pages with friends who were in the same boat. The pages became folders. The folders became this workbook.</w:t>
      </w:r>
    </w:p>
    <w:p>
      <w:pPr>
        <w:spacing w:after="120"/>
        <w:jc w:val="both"/>
      </w:pPr>
      <w:r>
        <w:rPr>
          <w:rFonts w:ascii="Lato" w:hAnsi="Lato"/>
          <w:color w:val="222222"/>
          <w:sz w:val="21"/>
        </w:rPr>
        <w:t>Barry writes in plain English, avoids jargon on principle, and believes that most Australians can feel more confident about retirement if they simply have somewhere calm and clear to write things down.</w:t>
      </w:r>
    </w:p>
    <w:p>
      <w:pPr>
        <w:spacing w:after="120"/>
        <w:jc w:val="both"/>
      </w:pPr>
      <w:r>
        <w:rPr>
          <w:rFonts w:ascii="Lato" w:hAnsi="Lato"/>
          <w:color w:val="222222"/>
          <w:sz w:val="21"/>
        </w:rPr>
        <w:t>He is not a licensed financial adviser, and none of the material in this workbook constitutes personal financial advice. Barry's role is that of a friendly guide — a bloke who's been through the paperwork himself.</w:t>
      </w:r>
    </w:p>
    <w:tbl>
      <w:tblPr>
        <w:tblW w:type="auto" w:w="0"/>
        <w:tblLayout w:type="autofit"/>
        <w:tblLook w:firstColumn="1" w:firstRow="1" w:lastColumn="0" w:lastRow="0" w:noHBand="0" w:noVBand="1" w:val="04A0"/>
      </w:tblPr>
      <w:tblGrid>
        <w:gridCol w:w="9746"/>
      </w:tblGrid>
      <w:tr>
        <w:tc>
          <w:tcPr>
            <w:tcW w:type="dxa" w:w="9746"/>
            <w:shd w:val="clear" w:color="auto" w:fill="5B8A72"/>
            <w:tcBorders>
              <w:top w:val="single" w:sz="8" w:color="5B8A72"/>
              <w:left w:val="single" w:sz="8" w:color="5B8A72"/>
              <w:bottom w:val="single" w:sz="8" w:color="5B8A72"/>
              <w:right w:val="single" w:sz="8" w:color="5B8A72"/>
            </w:tcBorders>
          </w:tcPr>
          <w:p>
            <w:r>
              <w:rPr>
                <w:rFonts w:ascii="Georgia" w:hAnsi="Georgia"/>
                <w:b/>
                <w:color w:val="FFFFFF"/>
                <w:sz w:val="22"/>
              </w:rPr>
              <w:t>A message from Barry</w:t>
            </w:r>
          </w:p>
          <w:p>
            <w:r>
              <w:rPr>
                <w:rFonts w:ascii="Lato" w:hAnsi="Lato"/>
                <w:color w:val="FFFFFF"/>
                <w:sz w:val="20"/>
              </w:rPr>
              <w:t>"If this workbook helps you spend one calm hour making sense of your super, I've done my job. Take it gently, be honest with yourself on the pages, and remember there's no rush."</w:t>
            </w:r>
          </w:p>
        </w:tc>
      </w:tr>
    </w:tbl>
    <w:p/>
    <w:p>
      <w:r>
        <w:br w:type="page"/>
      </w:r>
    </w:p>
    <w:p/>
    <w:p/>
    <w:p/>
    <w:p/>
    <w:p/>
    <w:p/>
    <w:p>
      <w:pPr>
        <w:jc w:val="center"/>
      </w:pPr>
      <w:r>
        <w:rPr>
          <w:rFonts w:ascii="Lato" w:hAnsi="Lato"/>
          <w:b/>
          <w:color w:val="C88B3A"/>
          <w:sz w:val="24"/>
        </w:rPr>
        <w:t>SECTION 19</w:t>
      </w:r>
    </w:p>
    <w:p>
      <w:pPr>
        <w:jc w:val="center"/>
      </w:pPr>
      <w:r>
        <w:rPr>
          <w:rFonts w:ascii="Georgia" w:hAnsi="Georgia"/>
          <w:b/>
          <w:color w:val="1E2A44"/>
          <w:sz w:val="56"/>
        </w:rPr>
        <w:t>About Retirement GenX Tools</w:t>
      </w:r>
    </w:p>
    <w:p>
      <w:pPr>
        <w:jc w:val="center"/>
      </w:pPr>
      <w:r>
        <w:rPr>
          <w:rFonts w:ascii="Lato" w:hAnsi="Lato"/>
          <w:i/>
          <w:color w:val="555555"/>
          <w:sz w:val="22"/>
        </w:rPr>
        <w:t>The publisher, and why it exists.</w:t>
      </w:r>
    </w:p>
    <w:p>
      <w:r>
        <w:br w:type="page"/>
      </w:r>
    </w:p>
    <w:p>
      <w:pPr>
        <w:spacing w:before="240" w:after="120"/>
      </w:pPr>
      <w:r>
        <w:rPr>
          <w:rFonts w:ascii="Georgia" w:hAnsi="Georgia"/>
          <w:b/>
          <w:color w:val="1E2A44"/>
          <w:sz w:val="44"/>
        </w:rPr>
        <w:t>About Retirement GenX Tools</w:t>
      </w:r>
    </w:p>
    <w:p>
      <w:pPr>
        <w:spacing w:after="120"/>
      </w:pPr>
      <w:r>
        <w:rPr>
          <w:rFonts w:ascii="Lato" w:hAnsi="Lato"/>
          <w:i/>
          <w:color w:val="555555"/>
          <w:sz w:val="20"/>
        </w:rPr>
        <w:t>Practical tools for the generation approaching retirement</w:t>
      </w:r>
    </w:p>
    <w:p>
      <w:pPr>
        <w:spacing w:after="120"/>
        <w:jc w:val="both"/>
      </w:pPr>
      <w:r>
        <w:rPr>
          <w:rFonts w:ascii="Lato" w:hAnsi="Lato"/>
          <w:color w:val="222222"/>
          <w:sz w:val="21"/>
        </w:rPr>
        <w:t>Retirement GenX Tools is an Australian publishing project focused on one thing: producing simple, calm, well-designed workbooks for Australians in their fifties and sixties.</w:t>
      </w:r>
    </w:p>
    <w:p>
      <w:pPr>
        <w:spacing w:after="120"/>
        <w:jc w:val="both"/>
      </w:pPr>
      <w:r>
        <w:rPr>
          <w:rFonts w:ascii="Lato" w:hAnsi="Lato"/>
          <w:color w:val="222222"/>
          <w:sz w:val="21"/>
        </w:rPr>
        <w:t>We believe that clear paperwork changes behaviour. Most retirement books are aimed at either finance professionals or complete beginners. There's a big group of thoughtful adults in the middle who just want somewhere sensible to record what they have and think about what's next.</w:t>
      </w:r>
    </w:p>
    <w:p>
      <w:pPr>
        <w:spacing w:after="120"/>
        <w:jc w:val="both"/>
      </w:pPr>
      <w:r>
        <w:rPr>
          <w:rFonts w:ascii="Lato" w:hAnsi="Lato"/>
          <w:color w:val="222222"/>
          <w:sz w:val="21"/>
        </w:rPr>
        <w:t>Every RGX publication follows the same principles:</w:t>
      </w:r>
    </w:p>
    <w:p>
      <w:pPr>
        <w:spacing w:after="120"/>
        <w:jc w:val="both"/>
      </w:pPr>
      <w:r>
        <w:rPr>
          <w:rFonts w:ascii="Lato" w:hAnsi="Lato"/>
          <w:color w:val="222222"/>
          <w:sz w:val="21"/>
        </w:rPr>
        <w:t>• Plain English, always.  • Never any personal financial advice.  • Australian resources and Australian language.  • Generous space to write in.  • A design that feels calm, not corporate.</w:t>
      </w:r>
    </w:p>
    <w:tbl>
      <w:tblPr>
        <w:tblW w:type="auto" w:w="0"/>
        <w:tblLook w:firstColumn="1" w:firstRow="1" w:lastColumn="0" w:lastRow="0" w:noHBand="0" w:noVBand="1" w:val="04A0"/>
      </w:tblPr>
      <w:tblGrid>
        <w:gridCol w:w="9746"/>
      </w:tblGrid>
      <w:tr>
        <w:tc>
          <w:tcPr>
            <w:tcW w:type="dxa" w:w="9746"/>
            <w:shd w:val="clear" w:color="auto" w:fill="F5F1EA"/>
            <w:tcBorders>
              <w:top w:val="single" w:sz="6" w:color="E4DCC9"/>
              <w:left w:val="single" w:sz="6" w:color="E4DCC9"/>
              <w:bottom w:val="single" w:sz="6" w:color="E4DCC9"/>
              <w:right w:val="single" w:sz="6" w:color="E4DCC9"/>
            </w:tcBorders>
          </w:tcPr>
          <w:p>
            <w:r>
              <w:rPr>
                <w:rFonts w:ascii="Georgia" w:hAnsi="Georgia"/>
                <w:b/>
                <w:color w:val="1E2A44"/>
                <w:sz w:val="22"/>
              </w:rPr>
              <w:t>Get in touch</w:t>
            </w:r>
          </w:p>
          <w:p>
            <w:r>
              <w:rPr>
                <w:rFonts w:ascii="Lato" w:hAnsi="Lato"/>
                <w:color w:val="222222"/>
                <w:sz w:val="20"/>
              </w:rPr>
              <w:t>Website: retirementgenxtools.com — For workbook updates, new titles in the RGX series, and reader tips.</w:t>
            </w:r>
          </w:p>
        </w:tc>
      </w:tr>
    </w:tbl>
    <w:p/>
    <w:tbl>
      <w:tblPr>
        <w:tblW w:type="auto" w:w="0"/>
        <w:tblLayout w:type="autofit"/>
        <w:tblLook w:firstColumn="1" w:firstRow="1" w:lastColumn="0" w:lastRow="0" w:noHBand="0" w:noVBand="1" w:val="04A0"/>
      </w:tblPr>
      <w:tblGrid>
        <w:gridCol w:w="9746"/>
      </w:tblGrid>
      <w:tr>
        <w:tc>
          <w:tcPr>
            <w:tcW w:type="dxa" w:w="9746"/>
            <w:shd w:val="clear" w:color="auto" w:fill="C88B3A"/>
            <w:tcBorders>
              <w:top w:val="single" w:sz="8" w:color="C88B3A"/>
              <w:left w:val="single" w:sz="8" w:color="C88B3A"/>
              <w:bottom w:val="single" w:sz="8" w:color="C88B3A"/>
              <w:right w:val="single" w:sz="8" w:color="C88B3A"/>
            </w:tcBorders>
          </w:tcPr>
          <w:p>
            <w:r>
              <w:rPr>
                <w:rFonts w:ascii="Georgia" w:hAnsi="Georgia"/>
                <w:b/>
                <w:color w:val="FFFFFF"/>
                <w:sz w:val="22"/>
              </w:rPr>
              <w:t>Version notes</w:t>
            </w:r>
          </w:p>
          <w:p>
            <w:r>
              <w:rPr>
                <w:rFonts w:ascii="Lato" w:hAnsi="Lato"/>
                <w:color w:val="FFFFFF"/>
                <w:sz w:val="20"/>
              </w:rPr>
              <w:t>This is Version 1.0 of publication RGX-002. Later editions may include new sections and refinements based on reader feedback. Suggestions are always welcome via our website.</w:t>
            </w:r>
          </w:p>
        </w:tc>
      </w:tr>
    </w:tbl>
    <w:p/>
    <w:sectPr w:rsidR="00FC693F" w:rsidRPr="0006063C" w:rsidSect="00034616">
      <w:headerReference w:type="default" r:id="rId9"/>
      <w:footerReference w:type="default" r:id="rId10"/>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Lato" w:hAnsi="Lato"/>
        <w:color w:val="555555"/>
        <w:sz w:val="16"/>
      </w:rPr>
      <w:t>Publication RGX-002  ·  Version 1.0</w:t>
    </w:r>
    <w:r>
      <w:tab/>
      <w:tab/>
    </w:r>
    <w:r>
      <w:rPr>
        <w:rFonts w:ascii="Lato" w:hAnsi="Lato"/>
        <w:color w:val="555555"/>
        <w:sz w:val="16"/>
      </w:rPr>
      <w:t>retirementgenxtools.com   © RGX Publications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Lato" w:hAnsi="Lato"/>
        <w:b/>
        <w:color w:val="1E2A44"/>
        <w:sz w:val="18"/>
      </w:rPr>
      <w:t>RGX Publications  ·  Retirement GenX Tools</w:t>
    </w:r>
    <w:r>
      <w:tab/>
      <w:tab/>
    </w:r>
    <w:r>
      <w:rPr>
        <w:rFonts w:ascii="Lato" w:hAnsi="Lato"/>
        <w:color w:val="555555"/>
        <w:sz w:val="18"/>
      </w:rPr>
      <w:t>Superannuation Tracker  ·  RGX-002  ·  Version 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ato" w:hAnsi="Lato"/>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